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0"/>
          <w:sz w:val="48"/>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0"/>
          <w:sz w:val="48"/>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0"/>
          <w:sz w:val="48"/>
        </w:rPr>
        <w:t xml:space="preserve">太仓市政府采购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TAICANG PROCUREMENT GOVERNMENT</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line="13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0"/>
        <w:jc w:val="center"/>
        <w:spacing w:before="0" w:after="0" w:line="13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jc w:val="center"/>
        <w:spacing w:before="0" w:after="0" w:line="13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jc w:val="center"/>
        <w:spacing w:before="0" w:after="0" w:line="13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 </w:t>
      </w:r>
      <w:r/>
    </w:p>
    <w:p>
      <w:pPr>
        <w:ind w:left="0" w:right="0" w:firstLine="944"/>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rPr>
          <w:rFonts w:ascii="Times New Roman" w:hAnsi="Times New Roman" w:eastAsia="Times New Roman" w:cs="Times New Roman"/>
          <w:b/>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项目编号：</w:t>
      </w:r>
      <w:r>
        <w:rPr>
          <w:rFonts w:ascii="Times New Roman" w:hAnsi="Times New Roman" w:eastAsia="Times New Roman" w:cs="Times New Roman"/>
          <w:b/>
          <w:color w:val="000000"/>
          <w:sz w:val="24"/>
        </w:rPr>
        <w:t xml:space="preserve">JSZC-320585-ZZJT-G2026-0010</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项目名称：</w:t>
      </w:r>
      <w:r>
        <w:rPr>
          <w:rFonts w:ascii="Times New Roman" w:hAnsi="Times New Roman" w:eastAsia="Times New Roman" w:cs="Times New Roman"/>
          <w:b/>
          <w:color w:val="000000"/>
          <w:sz w:val="24"/>
        </w:rPr>
        <w:t xml:space="preserve">2026</w:t>
      </w:r>
      <w:r>
        <w:rPr>
          <w:rFonts w:ascii="SimHei" w:hAnsi="SimHei" w:eastAsia="SimHei" w:cs="SimHei"/>
          <w:b/>
          <w:color w:val="000000"/>
          <w:sz w:val="24"/>
        </w:rPr>
        <w:t xml:space="preserve">年</w:t>
      </w:r>
      <w:r>
        <w:rPr>
          <w:rFonts w:ascii="Times New Roman" w:hAnsi="Times New Roman" w:eastAsia="Times New Roman" w:cs="Times New Roman"/>
          <w:b/>
          <w:color w:val="000000"/>
          <w:sz w:val="24"/>
        </w:rPr>
        <w:t xml:space="preserve">-2028</w:t>
      </w:r>
      <w:r>
        <w:rPr>
          <w:rFonts w:ascii="SimHei" w:hAnsi="SimHei" w:eastAsia="SimHei" w:cs="SimHei"/>
          <w:b/>
          <w:color w:val="000000"/>
          <w:sz w:val="24"/>
        </w:rPr>
        <w:t xml:space="preserve">年冻猪肉储备服务</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采购单位：太仓市发展和改革委员会</w:t>
      </w:r>
      <w:r/>
    </w:p>
    <w:p>
      <w:pPr>
        <w:ind w:left="0" w:right="0" w:firstLine="964"/>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行业：仓储业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招标服务单位：中证房地产评估造价集团有限公司</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二○二六年六月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一、投标须知前附表</w:t>
      </w:r>
      <w:r>
        <w:rPr>
          <w:rFonts w:ascii="Times New Roman" w:hAnsi="Times New Roman" w:eastAsia="Times New Roman" w:cs="Times New Roman"/>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前附表一</w:t>
      </w:r>
      <w:r>
        <w:rPr>
          <w:rFonts w:ascii="SimSun" w:hAnsi="SimSun" w:eastAsia="SimSun" w:cs="SimSun"/>
          <w:b/>
          <w:color w:val="000000"/>
          <w:sz w:val="28"/>
        </w:rPr>
        <w:t xml:space="preserve"> </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9"/>
        <w:gridCol w:w="1493"/>
        <w:gridCol w:w="2607"/>
        <w:gridCol w:w="1276"/>
        <w:gridCol w:w="2446"/>
      </w:tblGrid>
      <w:tr>
        <w:trPr>
          <w:trHeight w:val="492"/>
        </w:trPr>
        <w:tc>
          <w:tcPr>
            <w:tcBorders>
              <w:top w:val="single" w:color="000000" w:sz="24" w:space="0"/>
              <w:left w:val="single" w:color="000000" w:sz="2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24"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gridSpan w:val="3"/>
            <w:tcBorders>
              <w:top w:val="single" w:color="000000" w:sz="24" w:space="0"/>
              <w:left w:val="single" w:color="000000" w:sz="8" w:space="0"/>
              <w:bottom w:val="single" w:color="000000" w:sz="8" w:space="0"/>
              <w:right w:val="single" w:color="000000" w:sz="24" w:space="0"/>
            </w:tcBorders>
            <w:tcMar>
              <w:left w:w="108" w:type="dxa"/>
              <w:top w:w="0" w:type="dxa"/>
              <w:right w:w="108" w:type="dxa"/>
              <w:bottom w:w="0" w:type="dxa"/>
            </w:tcMar>
            <w:tcW w:w="6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说明与要求</w:t>
            </w:r>
            <w:r/>
          </w:p>
        </w:tc>
      </w:tr>
      <w:tr>
        <w:trPr>
          <w:trHeight w:val="553"/>
        </w:trPr>
        <w:tc>
          <w:tcPr>
            <w:tcBorders>
              <w:top w:val="single" w:color="000000" w:sz="8" w:space="0"/>
              <w:left w:val="single" w:color="000000" w:sz="24" w:space="0"/>
              <w:bottom w:val="single" w:color="000000" w:sz="8" w:space="0"/>
              <w:right w:val="single" w:color="000000" w:sz="8" w:space="0"/>
            </w:tcBorders>
            <w:tcMar>
              <w:left w:w="108" w:type="dxa"/>
              <w:top w:w="0" w:type="dxa"/>
              <w:right w:w="108" w:type="dxa"/>
              <w:bottom w:w="0" w:type="dxa"/>
            </w:tcMar>
            <w:tcW w:w="679" w:type="dxa"/>
            <w:vAlign w:val="center"/>
            <w:vMerge w:val="restart"/>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w:t>
            </w:r>
            <w:r/>
          </w:p>
        </w:tc>
        <w:tc>
          <w:tcPr>
            <w:gridSpan w:val="3"/>
            <w:tcBorders>
              <w:top w:val="single" w:color="000000" w:sz="8" w:space="0"/>
              <w:left w:val="single" w:color="000000" w:sz="8" w:space="0"/>
              <w:bottom w:val="single" w:color="000000" w:sz="8" w:space="0"/>
              <w:right w:val="single" w:color="000000" w:sz="24" w:space="0"/>
            </w:tcBorders>
            <w:tcMar>
              <w:left w:w="108" w:type="dxa"/>
              <w:top w:w="0" w:type="dxa"/>
              <w:right w:w="108" w:type="dxa"/>
              <w:bottom w:w="0" w:type="dxa"/>
            </w:tcMar>
            <w:tcW w:w="6330"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2026年-2028年冻猪肉储备服务</w:t>
            </w:r>
            <w:r/>
          </w:p>
        </w:tc>
      </w:tr>
      <w:tr>
        <w:trPr>
          <w:trHeight w:val="27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7"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公开招标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w:t>
            </w:r>
            <w:r/>
          </w:p>
        </w:tc>
        <w:tc>
          <w:tcPr>
            <w:tcBorders>
              <w:top w:val="single" w:color="000000" w:sz="8" w:space="0"/>
              <w:left w:val="single" w:color="000000" w:sz="8" w:space="0"/>
              <w:bottom w:val="single" w:color="000000" w:sz="8" w:space="0"/>
              <w:right w:val="single" w:color="000000" w:sz="24" w:space="0"/>
            </w:tcBorders>
            <w:tcMar>
              <w:left w:w="108" w:type="dxa"/>
              <w:top w:w="0" w:type="dxa"/>
              <w:right w:w="108" w:type="dxa"/>
              <w:bottom w:w="0" w:type="dxa"/>
            </w:tcMar>
            <w:tcW w:w="2446" w:type="dxa"/>
            <w:vAlign w:val="center"/>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财政资金</w:t>
            </w:r>
            <w:r/>
          </w:p>
        </w:tc>
      </w:tr>
      <w:tr>
        <w:trPr>
          <w:trHeight w:val="369"/>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gridSpan w:val="3"/>
            <w:tcBorders>
              <w:top w:val="single" w:color="000000" w:sz="8" w:space="0"/>
              <w:left w:val="single" w:color="000000" w:sz="8" w:space="0"/>
              <w:bottom w:val="single" w:color="000000" w:sz="8" w:space="0"/>
              <w:right w:val="single" w:color="000000" w:sz="24" w:space="0"/>
            </w:tcBorders>
            <w:tcMar>
              <w:left w:w="108" w:type="dxa"/>
              <w:top w:w="0" w:type="dxa"/>
              <w:right w:w="108" w:type="dxa"/>
              <w:bottom w:w="0" w:type="dxa"/>
            </w:tcMar>
            <w:tcW w:w="6330" w:type="dxa"/>
            <w:vAlign w:val="center"/>
            <w:textDirection w:val="lrTb"/>
            <w:noWrap w:val="false"/>
          </w:tcPr>
          <w:p>
            <w:pPr>
              <w:ind w:left="0" w:right="0" w:firstLine="0"/>
              <w:jc w:val="center"/>
              <w:spacing w:before="16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w:t>
            </w:r>
            <w:r/>
          </w:p>
        </w:tc>
      </w:tr>
      <w:tr>
        <w:trPr>
          <w:trHeight w:val="61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gridSpan w:val="3"/>
            <w:tcBorders>
              <w:top w:val="single" w:color="000000" w:sz="8" w:space="0"/>
              <w:left w:val="single" w:color="000000" w:sz="8" w:space="0"/>
              <w:bottom w:val="single" w:color="000000" w:sz="8" w:space="0"/>
              <w:right w:val="single" w:color="000000" w:sz="24" w:space="0"/>
            </w:tcBorders>
            <w:tcMar>
              <w:left w:w="108" w:type="dxa"/>
              <w:top w:w="0" w:type="dxa"/>
              <w:right w:w="108" w:type="dxa"/>
              <w:bottom w:w="0" w:type="dxa"/>
            </w:tcMar>
            <w:tcW w:w="6330" w:type="dxa"/>
            <w:vAlign w:val="center"/>
            <w:textDirection w:val="lrTb"/>
            <w:noWrap w:val="false"/>
          </w:tcPr>
          <w:p>
            <w:pPr>
              <w:ind w:left="0" w:right="0" w:firstLine="0"/>
              <w:jc w:val="both"/>
              <w:spacing w:before="16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包含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p>
        </w:tc>
      </w:tr>
      <w:tr>
        <w:trPr>
          <w:trHeight w:val="784"/>
        </w:trPr>
        <w:tc>
          <w:tcPr>
            <w:tcBorders>
              <w:top w:val="single" w:color="000000" w:sz="8" w:space="0"/>
              <w:left w:val="single" w:color="000000" w:sz="2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主要条件</w:t>
            </w:r>
            <w:r/>
          </w:p>
        </w:tc>
        <w:tc>
          <w:tcPr>
            <w:gridSpan w:val="3"/>
            <w:tcBorders>
              <w:top w:val="single" w:color="000000" w:sz="8" w:space="0"/>
              <w:left w:val="single" w:color="000000" w:sz="8" w:space="0"/>
              <w:bottom w:val="single" w:color="000000" w:sz="8" w:space="0"/>
              <w:right w:val="single" w:color="000000" w:sz="24" w:space="0"/>
            </w:tcBorders>
            <w:tcMar>
              <w:left w:w="108" w:type="dxa"/>
              <w:top w:w="0" w:type="dxa"/>
              <w:right w:w="108" w:type="dxa"/>
              <w:bottom w:w="0" w:type="dxa"/>
            </w:tcMar>
            <w:tcW w:w="6330" w:type="dxa"/>
            <w:vAlign w:val="center"/>
            <w:textDirection w:val="lrTb"/>
            <w:noWrap w:val="false"/>
          </w:tcPr>
          <w:p>
            <w:pPr>
              <w:ind w:left="0" w:right="0" w:firstLine="0"/>
              <w:jc w:val="both"/>
              <w:spacing w:before="16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w:t>
            </w:r>
            <w:r/>
          </w:p>
          <w:p>
            <w:pPr>
              <w:ind w:left="0" w:right="0" w:firstLine="0"/>
              <w:jc w:val="both"/>
              <w:spacing w:before="16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w:t>
            </w:r>
            <w:r/>
          </w:p>
          <w:p>
            <w:pPr>
              <w:ind w:left="0" w:right="0" w:firstLine="0"/>
              <w:jc w:val="both"/>
              <w:spacing w:before="16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具有履行合同所必需的设备和专业技术能力；</w:t>
            </w:r>
            <w:r/>
          </w:p>
          <w:p>
            <w:pPr>
              <w:ind w:left="0" w:right="0" w:firstLine="0"/>
              <w:jc w:val="both"/>
              <w:spacing w:before="16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p>
          <w:p>
            <w:pPr>
              <w:ind w:left="0" w:right="0" w:firstLine="0"/>
              <w:jc w:val="both"/>
              <w:spacing w:before="16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参加政府采购活动前三年内，在经营活动中没有重大违法记录；</w:t>
            </w:r>
            <w:r/>
          </w:p>
          <w:p>
            <w:pPr>
              <w:ind w:left="0" w:right="0" w:firstLine="0"/>
              <w:jc w:val="both"/>
              <w:spacing w:before="16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法律、行政法规规定的其他条件；</w:t>
            </w:r>
            <w:r/>
          </w:p>
        </w:tc>
      </w:tr>
      <w:tr>
        <w:trPr>
          <w:trHeight w:val="712"/>
        </w:trPr>
        <w:tc>
          <w:tcPr>
            <w:tcBorders>
              <w:top w:val="single" w:color="000000" w:sz="8" w:space="0"/>
              <w:left w:val="single" w:color="000000" w:sz="2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预算价格</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tc>
        <w:tc>
          <w:tcPr>
            <w:gridSpan w:val="3"/>
            <w:tcBorders>
              <w:top w:val="single" w:color="000000" w:sz="8" w:space="0"/>
              <w:left w:val="single" w:color="000000" w:sz="8" w:space="0"/>
              <w:bottom w:val="single" w:color="000000" w:sz="8" w:space="0"/>
              <w:right w:val="single" w:color="000000" w:sz="24" w:space="0"/>
            </w:tcBorders>
            <w:tcMar>
              <w:left w:w="108" w:type="dxa"/>
              <w:top w:w="0" w:type="dxa"/>
              <w:right w:w="108" w:type="dxa"/>
              <w:bottom w:w="0" w:type="dxa"/>
            </w:tcMar>
            <w:tcW w:w="6330"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预算价格：人民币贰佰伍拾捌万整（</w:t>
            </w:r>
            <w:r>
              <w:rPr>
                <w:rFonts w:ascii="KaiTi" w:hAnsi="KaiTi" w:eastAsia="KaiTi" w:cs="KaiTi"/>
                <w:color w:val="000000"/>
                <w:sz w:val="24"/>
              </w:rPr>
              <w:t xml:space="preserve">¥2580000.00</w:t>
            </w:r>
            <w:r>
              <w:rPr>
                <w:rFonts w:ascii="SimSun" w:hAnsi="SimSun" w:eastAsia="SimSun" w:cs="SimSun"/>
                <w:color w:val="000000"/>
                <w:sz w:val="24"/>
              </w:rPr>
              <w:t xml:space="preserve">元）</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最高限价：人民币贰佰伍拾捌万整（</w:t>
            </w:r>
            <w:r>
              <w:rPr>
                <w:rFonts w:ascii="KaiTi" w:hAnsi="KaiTi" w:eastAsia="KaiTi" w:cs="KaiTi"/>
                <w:color w:val="000000"/>
                <w:sz w:val="24"/>
              </w:rPr>
              <w:t xml:space="preserve">¥2580000.00</w:t>
            </w:r>
            <w:r>
              <w:rPr>
                <w:rFonts w:ascii="SimSun" w:hAnsi="SimSun" w:eastAsia="SimSun" w:cs="SimSun"/>
                <w:color w:val="000000"/>
                <w:sz w:val="24"/>
              </w:rPr>
              <w:t xml:space="preserve">元）</w:t>
            </w:r>
            <w:r/>
          </w:p>
        </w:tc>
      </w:tr>
      <w:tr>
        <w:trPr>
          <w:trHeight w:val="489"/>
        </w:trPr>
        <w:tc>
          <w:tcPr>
            <w:tcBorders>
              <w:top w:val="single" w:color="000000" w:sz="8" w:space="0"/>
              <w:left w:val="single" w:color="000000" w:sz="2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递交、开标</w:t>
            </w:r>
            <w:r/>
          </w:p>
        </w:tc>
        <w:tc>
          <w:tcPr>
            <w:gridSpan w:val="3"/>
            <w:tcBorders>
              <w:top w:val="single" w:color="000000" w:sz="8" w:space="0"/>
              <w:left w:val="single" w:color="000000" w:sz="8" w:space="0"/>
              <w:bottom w:val="single" w:color="000000" w:sz="8" w:space="0"/>
              <w:right w:val="single" w:color="000000" w:sz="24" w:space="0"/>
            </w:tcBorders>
            <w:tcMar>
              <w:left w:w="108" w:type="dxa"/>
              <w:top w:w="0" w:type="dxa"/>
              <w:right w:w="108" w:type="dxa"/>
              <w:bottom w:w="0" w:type="dxa"/>
            </w:tcMar>
            <w:tcW w:w="6330"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加密的电子投标文件上传截止时间：2026年7月8日14:00 （北京时间）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开标时间：2026年7月8日14:00 （北京时间）</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开标地点：网上不见面开标大厅</w:t>
            </w:r>
            <w:r/>
          </w:p>
        </w:tc>
      </w:tr>
      <w:tr>
        <w:trPr>
          <w:trHeight w:val="575"/>
        </w:trPr>
        <w:tc>
          <w:tcPr>
            <w:tcBorders>
              <w:top w:val="single" w:color="000000" w:sz="8" w:space="0"/>
              <w:left w:val="single" w:color="000000" w:sz="2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注意事项</w:t>
            </w:r>
            <w:r/>
          </w:p>
        </w:tc>
        <w:tc>
          <w:tcPr>
            <w:gridSpan w:val="3"/>
            <w:tcBorders>
              <w:top w:val="single" w:color="000000" w:sz="8" w:space="0"/>
              <w:left w:val="single" w:color="000000" w:sz="8" w:space="0"/>
              <w:bottom w:val="single" w:color="000000" w:sz="8" w:space="0"/>
              <w:right w:val="single" w:color="000000" w:sz="24" w:space="0"/>
            </w:tcBorders>
            <w:tcMar>
              <w:left w:w="108" w:type="dxa"/>
              <w:top w:w="0" w:type="dxa"/>
              <w:right w:w="108" w:type="dxa"/>
              <w:bottom w:w="0" w:type="dxa"/>
            </w:tcMar>
            <w:tcW w:w="6330"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法定代表人为同一人的不同单位，不得参加同一分包项目投标或未划分分包的同一投标项目投标，违反上述规定的投标作无效投标处理。</w:t>
            </w:r>
            <w:r/>
          </w:p>
        </w:tc>
      </w:tr>
      <w:tr>
        <w:trPr>
          <w:trHeight w:val="722"/>
        </w:trPr>
        <w:tc>
          <w:tcPr>
            <w:tcBorders>
              <w:top w:val="single" w:color="000000" w:sz="8" w:space="0"/>
              <w:left w:val="single" w:color="000000" w:sz="2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导致废标因素</w:t>
            </w:r>
            <w:r/>
          </w:p>
        </w:tc>
        <w:tc>
          <w:tcPr>
            <w:gridSpan w:val="3"/>
            <w:tcBorders>
              <w:top w:val="single" w:color="000000" w:sz="8" w:space="0"/>
              <w:left w:val="single" w:color="000000" w:sz="8" w:space="0"/>
              <w:bottom w:val="single" w:color="000000" w:sz="8" w:space="0"/>
              <w:right w:val="single" w:color="000000" w:sz="24" w:space="0"/>
            </w:tcBorders>
            <w:tcMar>
              <w:left w:w="108" w:type="dxa"/>
              <w:top w:w="0" w:type="dxa"/>
              <w:right w:w="108" w:type="dxa"/>
              <w:bottom w:w="0" w:type="dxa"/>
            </w:tcMar>
            <w:tcW w:w="6330" w:type="dxa"/>
            <w:vAlign w:val="center"/>
            <w:textDirection w:val="lrTb"/>
            <w:noWrap w:val="false"/>
          </w:tcPr>
          <w:p>
            <w:pPr>
              <w:ind w:left="0" w:right="0" w:firstLine="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出现下列情形之一的，为废标：</w:t>
            </w:r>
            <w:r/>
          </w:p>
          <w:p>
            <w:pPr>
              <w:ind w:left="0" w:right="0" w:firstLine="1"/>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．符合条件的供应商或者对招标文件作实质性响应的供应商不足三家的；</w:t>
            </w:r>
            <w:r/>
          </w:p>
          <w:p>
            <w:pPr>
              <w:ind w:left="0" w:right="0" w:firstLine="1"/>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．出现影响采购公正的违法、违规行为的；</w:t>
            </w:r>
            <w:r/>
          </w:p>
          <w:p>
            <w:pPr>
              <w:ind w:left="0" w:right="0" w:firstLine="1"/>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．供应商的报价均超过了采购预算，采购人不能支付的；</w:t>
            </w:r>
            <w:r/>
          </w:p>
          <w:p>
            <w:pPr>
              <w:ind w:left="0" w:right="0" w:firstLine="1"/>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．因重大变故，采购任务取消的。</w:t>
            </w:r>
            <w:r/>
          </w:p>
        </w:tc>
      </w:tr>
      <w:tr>
        <w:trPr>
          <w:trHeight w:val="485"/>
        </w:trPr>
        <w:tc>
          <w:tcPr>
            <w:tcBorders>
              <w:top w:val="single" w:color="000000" w:sz="8" w:space="0"/>
              <w:left w:val="single" w:color="000000" w:sz="2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导致无效标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因素</w:t>
            </w:r>
            <w:r/>
          </w:p>
        </w:tc>
        <w:tc>
          <w:tcPr>
            <w:gridSpan w:val="3"/>
            <w:tcBorders>
              <w:top w:val="single" w:color="000000" w:sz="8" w:space="0"/>
              <w:left w:val="single" w:color="000000" w:sz="8" w:space="0"/>
              <w:bottom w:val="single" w:color="000000" w:sz="8" w:space="0"/>
              <w:right w:val="single" w:color="000000" w:sz="24" w:space="0"/>
            </w:tcBorders>
            <w:tcMar>
              <w:left w:w="108" w:type="dxa"/>
              <w:top w:w="0" w:type="dxa"/>
              <w:right w:w="108" w:type="dxa"/>
              <w:bottom w:w="0" w:type="dxa"/>
            </w:tcMar>
            <w:tcW w:w="6330" w:type="dxa"/>
            <w:vAlign w:val="center"/>
            <w:textDirection w:val="lrTb"/>
            <w:noWrap w:val="false"/>
          </w:tcPr>
          <w:p>
            <w:pPr>
              <w:ind w:left="0" w:right="0" w:firstLine="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投标文件属下列情况之一的，在资格性、符合性检查时按照无效投标处理：</w:t>
            </w:r>
            <w:r/>
          </w:p>
          <w:p>
            <w:pPr>
              <w:ind w:left="0" w:right="0" w:firstLine="1"/>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投标文件未按招标文件要求签署、盖章或电子签章的；</w:t>
            </w:r>
            <w:r/>
          </w:p>
          <w:p>
            <w:pPr>
              <w:ind w:left="0" w:right="0" w:firstLine="1"/>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不具备招标文件中规定的资格要求的；</w:t>
            </w:r>
            <w:r/>
          </w:p>
          <w:p>
            <w:pPr>
              <w:ind w:left="0" w:right="0" w:firstLine="1"/>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报价超过招标文件中规定的预算金额或者最高限价的；</w:t>
            </w:r>
            <w:r/>
          </w:p>
          <w:p>
            <w:pPr>
              <w:ind w:left="0" w:right="0" w:firstLine="1"/>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不同投标人的投标文件使用同一台电脑编制的；</w:t>
            </w:r>
            <w:r/>
          </w:p>
          <w:p>
            <w:pPr>
              <w:ind w:left="0" w:right="0" w:firstLine="1"/>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投标文件含有采购人不能接受的附加条件的；</w:t>
            </w:r>
            <w:r/>
          </w:p>
          <w:p>
            <w:pPr>
              <w:ind w:left="0" w:right="0" w:firstLine="1"/>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法律、法规和招标文件规定的其他无效情形。</w:t>
            </w:r>
            <w:r/>
          </w:p>
        </w:tc>
      </w:tr>
      <w:tr>
        <w:trPr>
          <w:trHeight w:val="699"/>
        </w:trPr>
        <w:tc>
          <w:tcPr>
            <w:tcBorders>
              <w:top w:val="single" w:color="000000" w:sz="8" w:space="0"/>
              <w:left w:val="single" w:color="000000" w:sz="24" w:space="0"/>
              <w:bottom w:val="single" w:color="000000" w:sz="24"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w:t>
            </w:r>
            <w:r/>
          </w:p>
        </w:tc>
        <w:tc>
          <w:tcPr>
            <w:tcBorders>
              <w:top w:val="single" w:color="000000" w:sz="8" w:space="0"/>
              <w:left w:val="single" w:color="000000" w:sz="8" w:space="0"/>
              <w:bottom w:val="single" w:color="000000" w:sz="24"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注意事项</w:t>
            </w:r>
            <w:r/>
          </w:p>
        </w:tc>
        <w:tc>
          <w:tcPr>
            <w:gridSpan w:val="3"/>
            <w:tcBorders>
              <w:top w:val="single" w:color="000000" w:sz="8" w:space="0"/>
              <w:left w:val="single" w:color="000000" w:sz="8" w:space="0"/>
              <w:bottom w:val="single" w:color="000000" w:sz="24" w:space="0"/>
              <w:right w:val="single" w:color="000000" w:sz="24" w:space="0"/>
            </w:tcBorders>
            <w:tcMar>
              <w:left w:w="108" w:type="dxa"/>
              <w:top w:w="0" w:type="dxa"/>
              <w:right w:w="108" w:type="dxa"/>
              <w:bottom w:w="0" w:type="dxa"/>
            </w:tcMar>
            <w:tcW w:w="6330"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法定代表人为同一人的不同单位，不得参加同一分包项目投标或未划分分包的同一投标项目投标，违反上述规定的投标作无效投标处理。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4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104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104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104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104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104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41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总目录</w:t>
      </w:r>
      <w:r/>
    </w:p>
    <w:p>
      <w:pPr>
        <w:ind w:left="0" w:right="0" w:firstLine="6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480" w:right="0" w:firstLine="0"/>
        <w:spacing w:before="320" w:after="320" w:line="480" w:lineRule="atLeast"/>
        <w:tabs>
          <w:tab w:val="left" w:pos="90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招标公告</w:t>
      </w:r>
      <w:r/>
    </w:p>
    <w:p>
      <w:pPr>
        <w:ind w:left="480" w:right="0" w:firstLine="0"/>
        <w:spacing w:before="320" w:after="320" w:line="480" w:lineRule="atLeast"/>
        <w:tabs>
          <w:tab w:val="left" w:pos="90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投标供应商须知</w:t>
      </w:r>
      <w:r/>
    </w:p>
    <w:p>
      <w:pPr>
        <w:ind w:left="480" w:right="0" w:firstLine="0"/>
        <w:spacing w:before="320" w:after="320" w:line="480" w:lineRule="atLeast"/>
        <w:tabs>
          <w:tab w:val="left" w:pos="90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投标响应文件格式</w:t>
      </w:r>
      <w:r/>
    </w:p>
    <w:p>
      <w:pPr>
        <w:ind w:left="480" w:right="0" w:firstLine="0"/>
        <w:spacing w:before="320" w:after="320" w:line="480" w:lineRule="atLeast"/>
        <w:tabs>
          <w:tab w:val="left" w:pos="90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招标采购内容</w:t>
      </w:r>
      <w:r/>
    </w:p>
    <w:p>
      <w:pPr>
        <w:ind w:left="480" w:right="0" w:firstLine="0"/>
        <w:spacing w:before="320" w:after="320" w:line="480" w:lineRule="atLeast"/>
        <w:tabs>
          <w:tab w:val="left" w:pos="90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480" w:right="0" w:firstLine="0"/>
        <w:spacing w:before="320" w:after="320" w:line="480" w:lineRule="atLeast"/>
        <w:tabs>
          <w:tab w:val="left" w:pos="90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评审办法</w:t>
      </w:r>
      <w:r/>
    </w:p>
    <w:p>
      <w:pPr>
        <w:ind w:left="480" w:right="0" w:firstLine="0"/>
        <w:spacing w:before="320" w:after="320" w:line="480" w:lineRule="atLeast"/>
        <w:tabs>
          <w:tab w:val="left" w:pos="9022"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pStyle w:val="713"/>
        <w:ind w:left="0" w:right="0" w:firstLine="0"/>
        <w:jc w:val="center"/>
        <w:spacing w:before="156" w:after="156"/>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第一章 </w:t>
      </w:r>
      <w:r>
        <w:rPr>
          <w:rFonts w:ascii="SimSun" w:hAnsi="SimSun" w:eastAsia="SimSun" w:cs="SimSun"/>
          <w:b/>
          <w:color w:val="000000"/>
          <w:sz w:val="28"/>
          <w:u w:val="none"/>
        </w:rPr>
        <w:t xml:space="preserve">招标公告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2026年-2028年冻猪肉储备服务招标项目的潜在投标人应在</w:t>
      </w:r>
      <w:r>
        <w:rPr>
          <w:rFonts w:ascii="SimSun" w:hAnsi="SimSun" w:eastAsia="SimSun" w:cs="SimSun"/>
          <w:b/>
          <w:color w:val="000000"/>
          <w:sz w:val="24"/>
        </w:rPr>
        <w:t xml:space="preserve">“苏采云政府采购一体化平台”中参与项目并下载</w:t>
      </w:r>
      <w:r>
        <w:rPr>
          <w:rFonts w:ascii="SimSun" w:hAnsi="SimSun" w:eastAsia="SimSun" w:cs="SimSun"/>
          <w:color w:val="000000"/>
          <w:sz w:val="24"/>
        </w:rPr>
        <w:t xml:space="preserve">获取电子招标文件，并于</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14:00</w:t>
      </w:r>
      <w:r>
        <w:rPr>
          <w:rFonts w:ascii="SimSun" w:hAnsi="SimSun" w:eastAsia="SimSun" w:cs="SimSun"/>
          <w:color w:val="000000"/>
          <w:sz w:val="24"/>
        </w:rPr>
        <w:t xml:space="preserve">（北京时间）前上传电子投标文件。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JSZC-320585-ZZJT-G2026-0010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-2028</w:t>
      </w:r>
      <w:r>
        <w:rPr>
          <w:rFonts w:ascii="SimSun" w:hAnsi="SimSun" w:eastAsia="SimSun" w:cs="SimSun"/>
          <w:color w:val="000000"/>
          <w:sz w:val="24"/>
        </w:rPr>
        <w:t xml:space="preserve">年冻猪肉储备服务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预算金额：人民币贰佰伍拾捌万整（</w:t>
      </w:r>
      <w:r>
        <w:rPr>
          <w:rFonts w:ascii="Times New Roman" w:hAnsi="Times New Roman" w:eastAsia="Times New Roman" w:cs="Times New Roman"/>
          <w:color w:val="000000"/>
          <w:sz w:val="24"/>
        </w:rPr>
        <w:t xml:space="preserve">¥2580000.00</w:t>
      </w:r>
      <w:r>
        <w:rPr>
          <w:rFonts w:ascii="SimSun" w:hAnsi="SimSun" w:eastAsia="SimSun" w:cs="SimSun"/>
          <w:color w:val="000000"/>
          <w:sz w:val="24"/>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最高限价：人民币贰佰伍拾捌万整（</w:t>
      </w:r>
      <w:r>
        <w:rPr>
          <w:rFonts w:ascii="Times New Roman" w:hAnsi="Times New Roman" w:eastAsia="Times New Roman" w:cs="Times New Roman"/>
          <w:color w:val="000000"/>
          <w:sz w:val="24"/>
        </w:rPr>
        <w:t xml:space="preserve">¥2580000.00</w:t>
      </w:r>
      <w:r>
        <w:rPr>
          <w:rFonts w:ascii="SimSun" w:hAnsi="SimSun" w:eastAsia="SimSun" w:cs="SimSun"/>
          <w:color w:val="000000"/>
          <w:sz w:val="24"/>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采购需求：为落实冻猪肉储备任务，加强我市储备冻猪肉管理，提供太仓市市级储备冻猪肉</w:t>
      </w:r>
      <w:r>
        <w:rPr>
          <w:rFonts w:ascii="Times New Roman" w:hAnsi="Times New Roman" w:eastAsia="Times New Roman" w:cs="Times New Roman"/>
          <w:color w:val="000000"/>
          <w:sz w:val="24"/>
        </w:rPr>
        <w:t xml:space="preserve">350</w:t>
      </w:r>
      <w:r>
        <w:rPr>
          <w:rFonts w:ascii="SimSun" w:hAnsi="SimSun" w:eastAsia="SimSun" w:cs="SimSun"/>
          <w:color w:val="000000"/>
          <w:sz w:val="24"/>
        </w:rPr>
        <w:t xml:space="preserve">吨服务，合同期限三年，确保储备冻猪肉数量真实、质量合格和储存安全并定期轮换，做到储得进、管得好、调得动、用得上，有效发挥其作用。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合同履行期限：三年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（2）具有良好的商业信誉和健全的财务会计制度（提供最近一期的财务状况报告，其他组织、自然人提供银行出具的资信证明）；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（3）具有履行合同所必需的设备和专业技术能力（提供履行合同所必需的设备和专业技术能力的证明材料）；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（5）参加政府采购活动前三年内，在经营活动中没有重大违法记录（提供参加本次政府采购活动前3年内在经营活动中没有重大违法记录的书面声明）；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4、拒绝下述供应商参加本次采购活动：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（2）凡为采购项目提供整体设计、规范编制或者项目管理、监理、检测等服务的供应商，不得再参加本项目的采购活动。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（3）法人的分支机构不得参加投标（除银行、保险、石油石化、电力、电信等行业特殊情况外）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方式：网上下载电子招标文件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时间：2026年7月8日 14:00 （北京时间）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1、本项目需要使用CA数字证书制作、上传电子投标文件完成电子投标，请供应商在参加投标活动前办理好CA数字证书申领及电子签章等操作。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3、本项目采用不见面开标，投标人开标时无需到开标现场进行解密，采取网上开标大厅解密电子投标文件，投标人远程解密要求如下：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1）投标人使用CA数字证书进行远程解密，解密的CA数字证书与生成加密电子投标文件时的CA数字证书需为同一个CA数字证书，否则无法解密，造成的后果由投标人自行负责。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2）投标人登录苏采云系统，点击开标大厅，选择开标项目，完成不见面开标流程。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3）投标截止时间后根据系统提示解密电子投标文件。解密时间为15分钟，未在规定时间内完成解密，其投标文件将被拒绝，不参与后续投标流程。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5、有关供应商注册、报名、下载电子招标文件、制作上传电子投标文件、不见面开标及其他注意事项登录苏州政府采购网，在“下载中心”栏目下载“苏采云系统供应商操作手册”查阅。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6、有关办理CA数字申领及电子签章事项，登录苏州政府采购网，点击页面底部苏采云图标，进入苏采云政府采购一体化平台，下载“新CA办理指南”文件查阅。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7、有关电子投标制作技术疑问，请咨询苏采云软件公司客服：18261002950、0512-69820854、0519-86722802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8、政府采购监督电话：0512-53512539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9、本次招标投标保证金：本项目无须缴纳投标保证金。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10、政府采购履约资金扶持政策：中标供应商可凭政府采购合同办理融资贷款，详情请见江苏政府采购网“政采贷”专栏。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名称：太仓市发展和改革委员会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地址：太仓市县府东街99号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联系方式：周晔0512-53522757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名称：中证房地产评估造价集团有限公司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地址：太仓市娄东街道公正路11号联合大厦6楼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联系方式：赵斐13915769885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项目联系人：赵斐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电话：13915769885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13"/>
        <w:ind w:left="0" w:right="0" w:firstLine="0"/>
        <w:jc w:val="center"/>
        <w:spacing w:before="156" w:after="156"/>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第二章 投标供应商须知</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说明</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1.1本采购文件仅适用于中证房地产评估造价集团有限公司组织的采购活动。</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1.2本次采购活动及因本次采购产生的合同受中国法律制约和保护。</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1.3本采购文件的解释权属于中证房地产评估造价集团有限公司。</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词语释义</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2.1采购单位：具体组织实施招标采购活动的法人或由法人企业授权的分公司。</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2.2投标供应商：响应招标并且符合采购文件规定资格条件和参加招标竞争的法人、其他组织或者自然人。</w:t>
      </w:r>
      <w:r/>
    </w:p>
    <w:p>
      <w:pPr>
        <w:ind w:left="0" w:right="0" w:firstLine="501"/>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2.3响应：投标供应商根据采购单位发布的采购文件，编制投标响应文件并按规定参与招标的行为。</w:t>
      </w:r>
      <w:r/>
    </w:p>
    <w:p>
      <w:pPr>
        <w:ind w:left="0" w:right="0" w:firstLine="501"/>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2.4合同：采供双方根据采购文件和成交的投标响应文件及成交通知书规定的内容签署的以书面形式所达成的协议，包括所有的附件、附录和构成协议的所有文件。</w:t>
      </w:r>
      <w:r/>
    </w:p>
    <w:p>
      <w:pPr>
        <w:ind w:left="0" w:right="0" w:firstLine="501"/>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2.5甲方（采购方）：合同中明确规定的实际购买货物和服务的法人或其他组织和自然人。</w:t>
      </w:r>
      <w:r/>
    </w:p>
    <w:p>
      <w:pPr>
        <w:ind w:left="0" w:right="0" w:firstLine="501"/>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2.6乙方（供应商）：合同中规定的向采购方提供货物和服务的法人或其他组织和自然人。</w:t>
      </w:r>
      <w:r/>
    </w:p>
    <w:p>
      <w:pPr>
        <w:ind w:left="0" w:right="62" w:firstLine="489"/>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2.7货物：系指乙方按采购文件规定，应向甲方提供的一切设备、备品、备件、工具、手册及其它有关技术资料和材料。</w:t>
      </w:r>
      <w:r/>
    </w:p>
    <w:p>
      <w:pPr>
        <w:ind w:left="0" w:right="0" w:firstLine="54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2.8服务：系指本次采购文件规定乙方应承担的与提供货物和服务有关的辅助服务，比如运输、保险、安装、调试、提供技术援助、培训、配合措施、维修响应及合同中规定乙方应承担的其它义务。</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2.9知识产权：指专利权、商标权、著作权等无形财产专有权的统称。</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2.10天：日历日。</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2.11交货地点：合同中明确约定的乙方提交的货物和服务最终到达地点。</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合同价款：根据合同规定，乙方在正确地履行合同义务后甲方应支付乙方的价款。</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产地：货物开采、生长、生产、最终制造、加工或提供服务的来源地。</w:t>
      </w:r>
      <w:r/>
    </w:p>
    <w:p>
      <w:pPr>
        <w:ind w:left="0" w:right="0" w:firstLine="502"/>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2.14不可抗力：不能预见、不能避免并且不能克服的客观情况。</w:t>
      </w:r>
      <w:r/>
    </w:p>
    <w:p>
      <w:pPr>
        <w:ind w:left="0" w:right="0" w:firstLine="502"/>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 实质响应：满足有关本次采购标的、数量、质量、价款或者报酬、履行期限、履行地点和方式、违约责任和解决争议方法等要求。</w:t>
      </w:r>
      <w:r/>
    </w:p>
    <w:p>
      <w:pPr>
        <w:ind w:left="0" w:right="0" w:firstLine="502"/>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 进口产品：通过中国海关报关验放进入中国境内且产自关境外的产品。</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2.17书面形式：指书面文字、合同书、信件和传真等可以有形地表现所载内容的形式。</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3.合格投标供应商的一般条件</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3.1具有独立承担民事责任的能力；</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3.2具有良好的商业信誉和健全的财务会计制度； </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3.3具有履行合同所必需的设备和专业技术能力； </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3.4有依法缴纳税收和社会保障资金的良好记录； </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3.5参加政府采购活动前三年内，在经营活动中没有重大违法记录；</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3.6法律、行政法规规定的其他条件；</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4.合格投标供应商的特殊条件</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4.1按招标公告规定；</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5.投标供应商代表</w:t>
      </w:r>
      <w:r/>
    </w:p>
    <w:p>
      <w:pPr>
        <w:ind w:left="0" w:right="0" w:firstLine="501"/>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5.1指全权代表供应商参加招标采购活动并签署投标响应文件的人，如果投标供应商代表不是法人代表，须持有《法人代表授权委托书》（详见附件格式）。</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6.招标费用</w:t>
      </w:r>
      <w:r/>
    </w:p>
    <w:p>
      <w:pPr>
        <w:ind w:left="0" w:right="0" w:firstLine="502"/>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6.1无论招标过程中的做法和结果如何，投标供应商自行承担所有与参加招标有关的全部费用。</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7.联合招标</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7.1按招标公告规定</w:t>
      </w:r>
      <w:r>
        <w:rPr>
          <w:rFonts w:ascii="SimSun" w:hAnsi="SimSun" w:eastAsia="SimSun" w:cs="SimSun"/>
          <w:b/>
          <w:color w:val="000000"/>
          <w:sz w:val="24"/>
        </w:rPr>
        <w:t xml:space="preserve">。</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8.采购文件</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left="0" w:right="0" w:firstLine="501"/>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8.2招标文件及其更正文件不是直接从采购代理机构或指定媒体获得的，采购代理机构对招标文件及其补遗的真实性、完整性不承担任何责任。</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9.采购文件的澄清</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供应商在获取采购文件后，若有问题需要澄清，应于前附表规定的时间与地点以书面形式向采购单位提出，采购单位将以书面形式或答疑会的方式予以解答（包括对询问的解释，但不说明来源），答复将送给所有获取采购文件的投标供应商。迟于前附表规定时间提交的疑问，采购单位有权拒绝回答，也不承担由此带来的对投标供应商的影响。</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9.2投标供应商的询问通知应不得迟于前附表规定的招标提疑时间前使采购单位收到。迟于上述规定时间提交的询问通知，采购单位有权拒绝回答。</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10.采购文件的修改</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10.1采购代理机构无论出于自己的考虑，还是出于对投标人提问的澄清，均可对已发出的招标文件用补充文件的方式进行必要澄清或者修改。</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10.3招标文件的更正（含澄清、修改等）内容与原招标文件在同一内容上表述不一致时，以发出日期最接近开标时间的公告为准。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left="0" w:right="0" w:firstLine="36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10.5招标文件若有最新的答疑文件，投标供应商必须下载并使用该文件制作新的电子投标文件，否则将无法完成电子投标文件的上传及投标。</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11.质疑</w:t>
      </w:r>
      <w:r/>
    </w:p>
    <w:p>
      <w:pPr>
        <w:ind w:left="0" w:right="0" w:firstLine="360"/>
        <w:jc w:val="both"/>
        <w:spacing w:before="0" w:after="0" w:line="439"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left="0" w:right="0" w:firstLine="360"/>
        <w:jc w:val="both"/>
        <w:spacing w:before="0" w:after="0" w:line="439"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11.2提出质疑的供应商应当是参与所质疑项目采购活动的供应商，未参加投标活动的供应商或在投标活动中自身权益未受到损害的供应商所提出的质疑不予受理。</w:t>
      </w:r>
      <w:r/>
    </w:p>
    <w:p>
      <w:pPr>
        <w:ind w:left="0" w:right="0" w:firstLine="360"/>
        <w:jc w:val="both"/>
        <w:spacing w:before="0" w:after="0" w:line="439"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11.3上述应知其权益受到损害之日是指：</w:t>
      </w:r>
      <w:r/>
    </w:p>
    <w:p>
      <w:pPr>
        <w:ind w:left="0" w:right="0" w:firstLine="360"/>
        <w:jc w:val="both"/>
        <w:spacing w:before="0" w:after="0" w:line="439"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11.3.1对采购文件提出质疑的，为获取采购文件或者采购文件公告期限届满之日起计算；</w:t>
      </w:r>
      <w:r/>
    </w:p>
    <w:p>
      <w:pPr>
        <w:ind w:left="0" w:right="0" w:firstLine="360"/>
        <w:jc w:val="both"/>
        <w:spacing w:before="0" w:after="0" w:line="439"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11.3.2对采购过程提出质疑的，自采购程序环节结束之日起计算；</w:t>
      </w:r>
      <w:r/>
    </w:p>
    <w:p>
      <w:pPr>
        <w:ind w:left="0" w:right="0" w:firstLine="360"/>
        <w:jc w:val="both"/>
        <w:spacing w:before="0" w:after="0" w:line="439"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11.3.3对中标结果提出质疑的，自中标结果公告期限届满之日起计算。</w:t>
      </w:r>
      <w:r/>
    </w:p>
    <w:p>
      <w:pPr>
        <w:ind w:left="0" w:right="0" w:firstLine="360"/>
        <w:jc w:val="both"/>
        <w:spacing w:before="0" w:after="0" w:line="439"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11.4供应商提出质疑应当提交质疑函和必要的证明材料。质疑函应当包括下列内容：</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11.4.1供应商的姓名或者名称、地址、邮编、联系人及联系电话；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11.4.2质疑项目的名称、编号；</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11.4.3具体、明确的质疑事项和与质疑事项相关的请求；</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11.4.4事实依据；</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11.4.5必要的法律依据；</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11.4.6提出质疑的日期。</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11.5质疑函的格式和内容应当符合财政部《政府采购供应商质疑函范本》要求，质疑函范本在财政部官网上提供下载。</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11.6提交质疑函同时应当附如下证明材料：</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11.6.1对采购文件提出质疑的供应商提供参加本项目的“交易文件下载确认单”；</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11.6.2质疑供应商的营业执照复印件加盖单位公章；</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11.6.3质疑供应商法定代表人身份证复印件加盖单位公章；</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11.6.4质疑供应商若委托代理人进行质疑的，提供法人授权委托书及代理人身份证复印件加盖单位公章，授权委托书应载明代理人的姓名或者名称、代理事项、具体权限、期限和相关事项；</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11.7供应商为自然人的，应当由本人签字；供应商为法人或者其他组织的，应当由法定代表人、主要负责人，或者其授权代表签字或者盖章，并加盖公章。</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11.8 供应商对招标项目技术、商务及其他要求，以及评审细则、标准提出询问或质疑的，应向采购人提出；供应商对采购过程及中标结果提出询问或质疑的，应向采购机代理构提出；</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11.9 供应商如对本项目提出质疑须在法定质疑期内一次性提出针对同一采购程序环节的质疑，否则不予受理重复质疑。</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11.10 接受质疑函联系方式见采购公告联系事项。</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12．提示与要求</w:t>
      </w:r>
      <w:r/>
    </w:p>
    <w:p>
      <w:pPr>
        <w:ind w:left="0" w:right="0" w:firstLine="502"/>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12.1投标供应商应仔细阅读采购文件的所有内容，按采购文件的要求提供投标响应文件，并保证所提供的全部资料的真实性，以使其对采购文件作出实质性响应，否则，其投标响应文件可能被拒绝。</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12.2无论是否递交投标响应文件，投标供应商都应将采购文件及以后的所有通知、文件等视为保密文件。</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13.投标响应文件计量单位和使用文字</w:t>
      </w:r>
      <w:r/>
    </w:p>
    <w:p>
      <w:pPr>
        <w:ind w:left="0" w:right="0" w:firstLine="501"/>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13.1投标响应文件中所使用的计量单位，除采购文件中有特殊要求外，均应使用中华人民共和国法定计量单位。</w:t>
      </w:r>
      <w:r/>
    </w:p>
    <w:p>
      <w:pPr>
        <w:ind w:left="0" w:right="0" w:firstLine="501"/>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13.2投标响应文件应使用中文编制，投标响应文件中必须使用其他文字的，必须附有中文译本。对于未附有中文译本和中文译本不准确的投标响应文件可能引起的对投标供应商不利的后果，采购单位概不负责。</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14.知识产权</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15.电子投标文件的组成和顺序</w:t>
      </w:r>
      <w:r/>
    </w:p>
    <w:p>
      <w:pPr>
        <w:ind w:left="0" w:right="0" w:firstLine="1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15.1报价部分（详见投标文件格式）：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15.1.1封面</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15.1.2《开标一览表》(统一格式)；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15.1.3投标报价明细表；</w:t>
      </w:r>
      <w:r/>
    </w:p>
    <w:p>
      <w:pPr>
        <w:ind w:left="0" w:right="0" w:firstLine="1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15.2投标正文部分（包含资质证明和技术部分）</w:t>
      </w:r>
      <w:r/>
    </w:p>
    <w:p>
      <w:pPr>
        <w:ind w:left="0" w:right="0" w:firstLine="36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15.2.1资质证明文件部分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15.2.1.1关于资格文件的声明函（详见投标文件格式）；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15.2.1.2投标承诺函（详见投标文件格式）；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15.2.1.3法人营业执照或者其他组织的登记证书、资质证书等证明文件；</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15.2.1.4投标人参加本次政府采购活动前的财务状况报告或者银行出具的资信证明；</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15.2.1.5投标人根据项目需求提供履行合同所必需的设备和专业技术能力的证明材料；</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15.2.1.6投标人参加本次政府采购活动前半年（至少一个月）依法缴纳税收和社会保障资金的证明材料；</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15.2.1.7投标人参加政府采购活动前三年在经营活动中没有重大违法记录的书面申明（详见投标文件格式）；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15.2.1.8投标人证明其符合招标文件规定的投标人特定资格条件的证书、证明和文件材料；（如有）</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15.2.1.9投标人基本情况表（详见投标文件格式）；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15.2.1.10投标人法定代表人身份证复印件；</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15.2.1.11投标人法定代表人授权委托书原件（如有授权）（详见投标文件格式）；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15.2.1.12投标人授权代理人身份证复印件（如有授权）；</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15.2.1.13中小企业声明函；</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15.2.1.14残疾人福利性单位声明函（如有）；</w:t>
      </w:r>
      <w:r/>
    </w:p>
    <w:p>
      <w:pPr>
        <w:ind w:left="0" w:right="0" w:firstLine="36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15.2.2技术部分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15.2.2.1服务要求偏离表（统一格式）；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15.2.2.2商务要求偏离表（统一格式）；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15.2.2.3项目的技术及服务方案；</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15.2.2.4项目实施方案和进度方案</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15.2.2.5质量保证措施和承诺</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15.2.2.6售后服务内容</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15.2.2.7类似项目业绩一览表及相关证明材料；</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15.2.2.8投入本项目技术（服务）人员一览表及相关证明材料；</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15.2.2.9招标文件及评分标准中要求提供的其他相关材料</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15.2.2.10其他需投标人对本次投标的详细说明（投标人视各自的情况自行编制）；</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p>
    <w:p>
      <w:pPr>
        <w:ind w:left="0" w:right="0" w:firstLine="14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15.3投标文件由15.1、15.2款规定的内容共同组成。</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16.投标文件编制要求</w:t>
      </w:r>
      <w:r/>
    </w:p>
    <w:p>
      <w:pPr>
        <w:ind w:left="0" w:right="0" w:firstLine="4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w:t>
      </w:r>
      <w:r>
        <w:rPr>
          <w:rFonts w:ascii="SimSun" w:hAnsi="SimSun" w:eastAsia="SimSun" w:cs="SimSun"/>
          <w:b/>
          <w:color w:val="000000"/>
          <w:sz w:val="24"/>
        </w:rPr>
        <w:t xml:space="preserve">电子投标文件编制要求：</w:t>
      </w:r>
      <w:r>
        <w:rPr>
          <w:rFonts w:ascii="SimSun" w:hAnsi="SimSun" w:eastAsia="SimSun" w:cs="SimSun"/>
          <w:color w:val="000000"/>
          <w:sz w:val="24"/>
        </w:rPr>
        <w:t xml:space="preserve">投标人应使用</w:t>
      </w:r>
      <w:r>
        <w:rPr>
          <w:rFonts w:ascii="SimSun" w:hAnsi="SimSun" w:eastAsia="SimSun" w:cs="SimSun"/>
          <w:b/>
          <w:color w:val="000000"/>
          <w:sz w:val="24"/>
        </w:rPr>
        <w:t xml:space="preserve">招标文件要求的投标文件制作软件制作电子投标文件</w:t>
      </w:r>
      <w:r>
        <w:rPr>
          <w:rFonts w:ascii="SimSun" w:hAnsi="SimSun" w:eastAsia="SimSun" w:cs="SimSun"/>
          <w:color w:val="000000"/>
          <w:sz w:val="24"/>
        </w:rPr>
        <w:t xml:space="preserve">，电子投标文件按招标文件规定的格式制作，如果未按要求制作上传，可能导致投标无效。</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17.投标报价（编制）要求的说明</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除非合同中另有规定，投标人对《开标一览表》中的全部货物和服务的报价应包括本项目的货物、劳务、运输、管理、安装、维护、保险、盈余、税金、政策性文件规定及合同包含的所有风险、责任等各项应有费用，采购人不再支付其他任何费用。</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17.3一项投标内容只允许一个报价，采购代理机构不接受任何有选择性的投标报价。</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17.4投标文件报价中的单价和总价全部采用人民币表示，除非合同的特殊条款另有规定。</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17.5最低的投标报价或最高的折扣比例是中标的重要条件，但不是中标的唯一条件。</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18.投标保证金</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本项目无须缴纳投标保证金</w:t>
      </w:r>
      <w:r>
        <w:rPr>
          <w:rFonts w:ascii="SimSun" w:hAnsi="SimSun" w:eastAsia="SimSun" w:cs="SimSun"/>
          <w:b/>
          <w:color w:val="000000"/>
          <w:sz w:val="24"/>
        </w:rPr>
        <w:t xml:space="preserve">。</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19.投标响应文件的有效期</w:t>
      </w:r>
      <w:r/>
    </w:p>
    <w:p>
      <w:pPr>
        <w:ind w:left="0" w:right="0" w:firstLine="502"/>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19.1自投标当日起</w:t>
      </w:r>
      <w:r>
        <w:rPr>
          <w:rFonts w:ascii="SimSun" w:hAnsi="SimSun" w:eastAsia="SimSun" w:cs="SimSun"/>
          <w:color w:val="000000"/>
          <w:sz w:val="24"/>
          <w:u w:val="single"/>
        </w:rPr>
        <w:t xml:space="preserve">60</w:t>
      </w:r>
      <w:r>
        <w:rPr>
          <w:rFonts w:ascii="SimSun" w:hAnsi="SimSun" w:eastAsia="SimSun" w:cs="SimSun"/>
          <w:color w:val="000000"/>
          <w:sz w:val="24"/>
        </w:rPr>
        <w:t xml:space="preserve">天内，投标响应文件应保持有效。有效期短于这个规定期限的响应，将被拒绝。</w:t>
      </w:r>
      <w:r/>
    </w:p>
    <w:p>
      <w:pPr>
        <w:ind w:left="0" w:right="0" w:firstLine="502"/>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在特殊情况下，采购单位可与投标供应商协商延长投标响应文件的有效期。这种要求和答复都应以书面形式进行。同意延长有效期的投标供应商不能修改投标响应文件长。拒绝接受延期要求的投标供应商的响应将被拒绝。</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20.投标文件的上传、提交</w:t>
      </w:r>
      <w:r/>
    </w:p>
    <w:p>
      <w:pPr>
        <w:ind w:left="0" w:right="0" w:firstLine="0"/>
        <w:jc w:val="both"/>
        <w:spacing w:before="0" w:after="0" w:line="439"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20.1投标人应将制作好的加密电子投标文件按要求在投标截止时间前上传到交易系统平台中。</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21.投标截止时间</w:t>
      </w:r>
      <w:r/>
    </w:p>
    <w:p>
      <w:pPr>
        <w:ind w:left="0" w:right="0" w:firstLine="0"/>
        <w:jc w:val="both"/>
        <w:spacing w:before="0" w:after="0" w:line="43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21.1电子投标文件必须按招标公告中规定的网上投标截止时间前提交</w:t>
      </w:r>
      <w:r>
        <w:rPr>
          <w:rFonts w:ascii="SimSun" w:hAnsi="SimSun" w:eastAsia="SimSun" w:cs="SimSun"/>
          <w:color w:val="000000"/>
          <w:sz w:val="24"/>
        </w:rPr>
        <w:t xml:space="preserve">，</w:t>
      </w:r>
      <w:r>
        <w:rPr>
          <w:rFonts w:ascii="SimSun" w:hAnsi="SimSun" w:eastAsia="SimSun" w:cs="SimSun"/>
          <w:b/>
          <w:color w:val="000000"/>
          <w:sz w:val="24"/>
        </w:rPr>
        <w:t xml:space="preserve">否则投标无效</w:t>
      </w:r>
      <w:r>
        <w:rPr>
          <w:rFonts w:ascii="SimSun" w:hAnsi="SimSun" w:eastAsia="SimSun" w:cs="SimSun"/>
          <w:color w:val="000000"/>
          <w:sz w:val="24"/>
        </w:rPr>
        <w:t xml:space="preserve">。</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21.2采购代理机构推迟投标截止时间时，应以更正公告的形式，通知所有投标人。在这种情况下，采购代理机构和投标人的权利和义务将受到新的截止期的约束。</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21.3在投标截止时间止采购代理机构收到的电子投标文件</w:t>
      </w:r>
      <w:r>
        <w:rPr>
          <w:rFonts w:ascii="SimSun" w:hAnsi="SimSun" w:eastAsia="SimSun" w:cs="SimSun"/>
          <w:b/>
          <w:color w:val="000000"/>
          <w:sz w:val="24"/>
        </w:rPr>
        <w:t xml:space="preserve">少于三份</w:t>
      </w:r>
      <w:r>
        <w:rPr>
          <w:rFonts w:ascii="SimSun" w:hAnsi="SimSun" w:eastAsia="SimSun" w:cs="SimSun"/>
          <w:color w:val="000000"/>
          <w:sz w:val="24"/>
        </w:rPr>
        <w:t xml:space="preserve">的，采购代理机构有权宣布本次招标失败。</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22.投标文件的修改和撤回</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22.1投标人在提交投标文件截止时间前，可对其投标文件进行撤回或修改。</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23.2开标后投标人不得撤回投标。</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23.开标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23.1采购代理机构按采购公告规定的时间、地点主持不见面开标活动。开标仪式由采购代理机构主持。</w:t>
      </w:r>
      <w:r/>
    </w:p>
    <w:p>
      <w:pPr>
        <w:ind w:left="0" w:right="0" w:firstLine="3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w:t>
      </w:r>
      <w:r>
        <w:rPr>
          <w:rFonts w:ascii="SimSun" w:hAnsi="SimSun" w:eastAsia="SimSun" w:cs="SimSun"/>
          <w:b/>
          <w:color w:val="000000"/>
          <w:sz w:val="24"/>
        </w:rPr>
        <w:t xml:space="preserve">参加开标的投标法定代表人或授权代理人须在项目开标前登录苏采云不见面开标系统，进入网上不见面开标大厅，做好相关准备工作。</w:t>
      </w:r>
      <w:r/>
    </w:p>
    <w:p>
      <w:pPr>
        <w:ind w:left="0" w:right="0" w:firstLine="3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w:t>
      </w:r>
      <w:r>
        <w:rPr>
          <w:rFonts w:ascii="SimSun" w:hAnsi="SimSun" w:eastAsia="SimSun" w:cs="SimSun"/>
          <w:b/>
          <w:color w:val="000000"/>
          <w:sz w:val="24"/>
        </w:rPr>
        <w:t xml:space="preserve">本项目开标后在规定的解密时间内，投标人须自行登录网上开标大厅解密投标文件，解密时间为15分钟，因自身原因导致解密失败的，由投标人自行承担相关责任。</w:t>
      </w:r>
      <w:r/>
    </w:p>
    <w:p>
      <w:pPr>
        <w:ind w:left="0" w:right="0" w:firstLine="3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23.4采购代理机构在开标仪式上，将公布投标人的名称、投标价格，并将作唱标记录。</w:t>
      </w:r>
      <w:r/>
    </w:p>
    <w:p>
      <w:pPr>
        <w:ind w:left="0" w:right="0" w:firstLine="3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23.5投标人代表对开标过程和开标记录有疑义，以及认为采购人、采购代理机构相关工作人员有需要回避的情形的，</w:t>
      </w:r>
      <w:r>
        <w:rPr>
          <w:rFonts w:ascii="SimSun" w:hAnsi="SimSun" w:eastAsia="SimSun" w:cs="SimSun"/>
          <w:b/>
          <w:color w:val="000000"/>
          <w:sz w:val="24"/>
        </w:rPr>
        <w:t xml:space="preserve">应通过不见面开标大厅提出</w:t>
      </w:r>
      <w:r>
        <w:rPr>
          <w:rFonts w:ascii="SimSun" w:hAnsi="SimSun" w:eastAsia="SimSun" w:cs="SimSun"/>
          <w:color w:val="000000"/>
          <w:sz w:val="24"/>
        </w:rPr>
        <w:t xml:space="preserve">询问或者回避申请。采购人、采购代理机构对投标人代表提出的询问或者回避申请应当及时处理。</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24.评标委员会</w:t>
        <w:tab/>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24.1评标委员会由采购代理机构依法组建，负责本项目的评标事务。</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24.2评标委员会独立履行下列职责：</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24.2.1审查投标文件是否符合招标文件的要求，并作出评价；</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24.2.2可以要求投标供应商对投标文件有关事项作出解释或澄清；</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24.2.3推荐中标候选供应商名单，或者受采购人委托按照事先确定的办法直接确定中标供应商；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24.2.4向采购代理机构或者有关部门报告非法干预评标工作的行为。</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24.3评标委员会成员应当履行下列义务：</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24.3.1遵纪守法，客观、公正、廉洁地履行职责；</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24.3.2按照招标文件规定的评标办法和评标标准进行评标，对评审意见承担个人责任；</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24.3.3对评标过程和结果，以及投标人的商业秘密保密；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24.3.4参与评标报告的起草；</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24.3.5配合采购代理机构答复投标供应商提出的质疑；</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24.3.6配合相关部门的投诉处理工作；</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25.评审内容的保密</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25.1评审开始后，直到宣布授予中标供应商合同为止，凡属于审查、澄清、评价和比较投标响应文件的所有资料，有关授予合同的信息都不应向投标供应商或与评审无关的其他人泄露。</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25.2在投标响应文件的审查、澄清、评价和比较以及授予合同的过程中，投标供应商对采购单位和评审小组施加影响的任何行为，都将取消其成交资格。</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25.3在评审期间，采购单位将通过指定联络人与投标供应商进行联系。</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26.对投标响应文件初审</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26.1投标文件初审分为资格性检查和符合性检查。</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26.1.2关于信用记录查询：</w:t>
      </w:r>
      <w:r/>
    </w:p>
    <w:p>
      <w:pPr>
        <w:ind w:left="0" w:right="0" w:firstLine="50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确认不符合政府采购相关法律法规规定的，将拒绝其参与政府采购活动。</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26.1.2.1查询时间：投标文件递交截止时间。</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26.1.3符合性检查。依据招标文件的规定，从投标文件的有效性、完整性和对招标文件的响应程度进行审查，以确定是否对招标文件的实质性要求作出响应。</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26.2.1不同投标人的投标文件由同一单位或者个人编制；</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26.2.2不同投标人委托同一单位或者个人办理投标事宜；</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26.2.3不同投标人的投标文件载明的项目管理成员或者联系人员为同一人；</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26.2.4不同投标人的投标文件异常一致或者投标报价呈规律性差异；</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26.2.5不同投标人的投标文件相互混装；</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26.5评标委员会将允许修改投标中不构成重大偏离的微小的、非正规、不一致或不规则的地方，但这些修改不能影响任何投标人的名次相应排列。投标人不得对招标文件进行实质性修改，否则投标文件将被拒绝。</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26.6评委会将对确定为实质性响应的投标进行审核，看其是否有计算上或累加上的算术错误，修正错误的原则如下：</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26.6.1投标文件中开标一览表（报价表）内容与投标文件中相应内容不一致的，以开标一览表（报价表）为准；；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26.6.2大写金额和小写金额不一致的，以大写金额为准；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26.6.3单价金额小数点或者百分比有明显错位的，以开标一览表的总价为准，并修改单价；</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26.6.4总价金额与按单价汇总金额不一致的，以单价金额计算结果为准。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同时出现两种以上不一致的，按照前款规定的顺序修正。修正后的报价按照本须知26.6条规定经投标人确认后产生约束力，投标人不确认的，其投标无效。</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w:t>
      </w:r>
      <w:r>
        <w:rPr>
          <w:rFonts w:ascii="SimSun" w:hAnsi="SimSun" w:eastAsia="SimSun" w:cs="SimSun"/>
          <w:b/>
          <w:color w:val="000000"/>
          <w:sz w:val="24"/>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26.8对不同文字文本投标文件的解释发生异议的，以中文文本为准；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26.9评标委员会对投标文件的判定，只依据投标内容本身，不依靠开标后的任何外来证明。</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26.10评标委员会将拒绝被确定为非实质性响应的投标，投标人不能通过修正或撤销不符之处而使其投标成为实质性响应的投标。</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27.响应文件的澄清、说明和更正</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28．无效投标和废标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28.1无效投标的具体情形有：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28.1.1投标文件未按招标文件要求签署、盖章或电子签章的；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28.1.2不具备招标文件中规定的资格要求的；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28.1.3报价超过招标文件中规定的预算金额或者最高限价的；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28.1.4</w:t>
      </w:r>
      <w:r>
        <w:rPr>
          <w:rFonts w:ascii="SimSun" w:hAnsi="SimSun" w:eastAsia="SimSun" w:cs="SimSun"/>
          <w:b/>
          <w:color w:val="000000"/>
          <w:sz w:val="24"/>
        </w:rPr>
        <w:t xml:space="preserve">不同投标人的投标文件使用同一台电脑编制的；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28.1.5投标文件含有采购人不能接受的附加条件的；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28.1.6法律、法规和招标文件规定的其他无效情形。</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28.2在招标采购中，出现下列情形之一的，应予废标：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28.2.1符合专业条件的供应商或者对招标文件作实质响应的供应商不足三家的；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28.2.2出现影响采购公正的违法、违规行为的；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28.2.3投标人的报价均超过了采购预算，采购人不能支付的；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28.2.4因重大变故，采购任务取消的。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28.3废标后，采购人应当将废标理由通知所有投标人。</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29.投标响应文件的评价和比较</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29.1评标委员会按招标文件规定的评标方法和标准，仅对资格性检查和符合性检查合格的投标文件进行商务和技术评估，综合比较与评价。</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评价和比较采用综合评分法，评标委员会严格按照招标文件的要求、条件、评分标准，对投标人所提供货物和服务的先进性、可靠性、售后服务承诺、质量保证承诺等实质性响应内容进行比较报价，同时考虑以下因素：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29.2.1服务的质量保证（保障）内容；</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29.2.2服务配备的人员；</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29.2.3投标者的资信情况和履约能力；</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29.2.4投标者提供的其他优惠条件；</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29.2.5参与本项目政府采购工作的态度及信誉；</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29.2.6最低的投标报价或最高的折扣比例是中标的重要条件，但不是唯一条件。</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 中标供应商的确认</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30.1评标委员会按招标文件规定的评标方法和标准进行详细评审后，按采购代理机构的委托向采购代理机构推荐中标候选单位或根据采购人授权直接确定中标供应商。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30.2经评标委员会评审并确定中标供应商后，采购代理机构将在规定的时间内将中标结果在相关媒体上予以公告。</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各投标人如对公告结果有异议，应在中标公告期届满起七个工作日内，以书面形式向采购代理机构提出质疑，该质疑须按《政府采购质疑和投诉办法》、《江苏省政府采购供应商监督管理暂行办法》的规定提交。采购代理机构将在收到经投标人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30.4质疑函递交地点及联系方式详见公告内容</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31.合同授予标准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31.1采购代理机构将把合同授予其投标文件在实质上响应招标文件要求和按本须知规定评选出的投标人。确定为中标的投标人必须具有实施本合同的能力和资源。</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32.中标通知书</w:t>
      </w:r>
      <w:r/>
    </w:p>
    <w:p>
      <w:pPr>
        <w:ind w:left="0" w:right="0" w:firstLine="3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left="0" w:right="0" w:firstLine="361"/>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32.2中标通知书在中标公告发布后将发布在业务系统中，中标通知书发布之日视为中标供应商领取之日，中标供应商自行在业务系统中下载打印。</w:t>
      </w:r>
      <w:r/>
    </w:p>
    <w:p>
      <w:pPr>
        <w:ind w:left="0" w:right="0" w:firstLine="3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32.3中标通知书将成为合同的组成部分。</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32.4采购代理机构对未中标供应商不承担解释未中标原因的义务。</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33.履约保证金</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33.1本项目不收取履约保证金。</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34.合同的签订</w:t>
      </w:r>
      <w:r/>
    </w:p>
    <w:p>
      <w:pPr>
        <w:ind w:left="0" w:right="0" w:firstLine="3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34.2中标供应商应按中标通知书中中规定，由法定代表人或授权代理人与采购人代表签订合同，否则按放弃中标权处理。</w:t>
      </w:r>
      <w:r/>
    </w:p>
    <w:p>
      <w:pPr>
        <w:ind w:left="0" w:right="0" w:firstLine="3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34.3签订合同及合同条款应以招标文件和中标供应商的投标文件及其澄清文件为依据。</w:t>
      </w:r>
      <w:r/>
    </w:p>
    <w:p>
      <w:pPr>
        <w:ind w:left="0" w:right="0" w:firstLine="3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34.4中标人无正当理由拒签合同的，或在签订合同时向采购人提出附加条件或者更改合同实质性内容的，采购人可取消其中标资格，同时由中标人承担相应的法律责任。</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35.节能产品和环境标志产品</w:t>
      </w:r>
      <w:r/>
    </w:p>
    <w:p>
      <w:pPr>
        <w:ind w:left="0" w:right="0" w:firstLine="3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ascii="SimSun" w:hAnsi="SimSun" w:eastAsia="SimSun" w:cs="SimSun"/>
          <w:b/>
          <w:color w:val="000000"/>
          <w:sz w:val="24"/>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36.中小企业相关政策：</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36.1本项目专门面向中小企业采购，执行以下相关政策：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ascii="SimSun" w:hAnsi="SimSun" w:eastAsia="SimSun" w:cs="SimSun"/>
          <w:b/>
          <w:color w:val="000000"/>
          <w:sz w:val="24"/>
        </w:rPr>
        <w:t xml:space="preserve">否则视为投标无效。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36.1.1中小企业划分：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（1）符合中小企业划分标准的个体工商户，在政府采购活动中视同中小企业。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（2）中小企业划分标准详见“工信部联企业〔2011〕300号通知”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36.1.2残疾人福利性单位政策：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36.1.3监狱企业发展政策：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36.1.4、中标、成交供应商享受规定的中小企业扶持政策的，其声明函及相关证明材料应当随中标、成交结果同时公告，接受社会监督。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36.1.5、</w:t>
      </w:r>
      <w:r>
        <w:rPr>
          <w:rFonts w:ascii="SimSun" w:hAnsi="SimSun" w:eastAsia="SimSun" w:cs="SimSun"/>
          <w:b/>
          <w:color w:val="000000"/>
          <w:sz w:val="24"/>
        </w:rPr>
        <w:t xml:space="preserve">专门面向中小企业采购的项目，不再执行价格评审优惠的扶持政策。</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37.其他</w:t>
      </w:r>
      <w:r/>
    </w:p>
    <w:p>
      <w:pPr>
        <w:ind w:left="0" w:right="0" w:firstLine="482"/>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本次招标的中标服务费人民币叁万贰仟叁佰捌拾元整（￥32380.00）由采购人承担</w:t>
      </w:r>
      <w:r>
        <w:rPr>
          <w:rFonts w:ascii="SimSun" w:hAnsi="SimSun" w:eastAsia="SimSun" w:cs="SimSun"/>
          <w:color w:val="000000"/>
          <w:sz w:val="24"/>
        </w:rPr>
        <w:t xml:space="preserve">， 100万元以下部分1.5%、100万元（含）～500万元部分1.1%，500万元（含）～1000万元部分0.8%，代理服务费计费金额不满3000元的按3000元计。</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本项目投标只接受独立合法人投标。中标者不得转包，联合体投标无效，事后发现存在转包，甲方有权取消合同，并追究由此引起的相关责任。</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38.监督和公证</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38.1政府有关监督部门将对招投标全过程进行监督。</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38.2采购代理机构的招标过程将通过公证机关进行公证。</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39.未尽事宜</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39.1按《中华人民共和国政府采购法》及其他有关法律法规的规定执行。</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13"/>
        <w:ind w:left="0" w:right="0" w:firstLine="0"/>
        <w:jc w:val="center"/>
        <w:spacing w:before="156" w:after="156"/>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第三章 投标响应文件格式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对本章所有的投标书格式</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，投标人可根据自身情况进行补充和修改，但补充和修改不得造成与本格式内容有实质性的违背。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1、（供应方）法定代表人授权委托书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授权委托书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  我</w:t>
      </w:r>
      <w:r>
        <w:rPr>
          <w:rFonts w:ascii="SimSun" w:hAnsi="SimSun" w:eastAsia="SimSun" w:cs="SimSun"/>
          <w:color w:val="000000"/>
          <w:sz w:val="24"/>
          <w:u w:val="single"/>
        </w:rPr>
        <w:t xml:space="preserve"> × × × </w:t>
      </w:r>
      <w:r>
        <w:rPr>
          <w:rFonts w:ascii="SimSun" w:hAnsi="SimSun" w:eastAsia="SimSun" w:cs="SimSun"/>
          <w:color w:val="000000"/>
          <w:sz w:val="24"/>
        </w:rPr>
        <w:t xml:space="preserve">（姓名）系</w:t>
      </w:r>
      <w:r>
        <w:rPr>
          <w:rFonts w:ascii="SimSun" w:hAnsi="SimSun" w:eastAsia="SimSun" w:cs="SimSun"/>
          <w:color w:val="000000"/>
          <w:sz w:val="24"/>
          <w:u w:val="single"/>
        </w:rPr>
        <w:t xml:space="preserve">× × ×</w:t>
      </w:r>
      <w:r>
        <w:rPr>
          <w:rFonts w:ascii="SimSun" w:hAnsi="SimSun" w:eastAsia="SimSun" w:cs="SimSun"/>
          <w:color w:val="000000"/>
          <w:sz w:val="24"/>
        </w:rPr>
        <w:t xml:space="preserve">（供应单位名称）的法定代表人，现授权委托</w:t>
      </w:r>
      <w:r>
        <w:rPr>
          <w:rFonts w:ascii="SimSun" w:hAnsi="SimSun" w:eastAsia="SimSun" w:cs="SimSun"/>
          <w:color w:val="000000"/>
          <w:sz w:val="24"/>
          <w:u w:val="single"/>
        </w:rPr>
        <w:t xml:space="preserve">× × ×</w:t>
      </w:r>
      <w:r>
        <w:rPr>
          <w:rFonts w:ascii="SimSun" w:hAnsi="SimSun" w:eastAsia="SimSun" w:cs="SimSun"/>
          <w:color w:val="000000"/>
          <w:sz w:val="24"/>
        </w:rPr>
        <w:t xml:space="preserve">（单位名称）的</w:t>
      </w:r>
      <w:r>
        <w:rPr>
          <w:rFonts w:ascii="SimSun" w:hAnsi="SimSun" w:eastAsia="SimSun" w:cs="SimSun"/>
          <w:color w:val="000000"/>
          <w:sz w:val="24"/>
          <w:u w:val="single"/>
        </w:rPr>
        <w:t xml:space="preserve">× × ×  </w:t>
      </w:r>
      <w:r>
        <w:rPr>
          <w:rFonts w:ascii="SimSun" w:hAnsi="SimSun" w:eastAsia="SimSun" w:cs="SimSun"/>
          <w:color w:val="000000"/>
          <w:sz w:val="24"/>
        </w:rPr>
        <w:t xml:space="preserve">（姓名）为我公司代理人，以本公司的名义参加中证房地产评估造价集团有限公司组织实施的编号为</w:t>
      </w:r>
      <w:r>
        <w:rPr>
          <w:rFonts w:ascii="SimSun" w:hAnsi="SimSun" w:eastAsia="SimSun" w:cs="SimSun"/>
          <w:color w:val="000000"/>
          <w:sz w:val="24"/>
          <w:u w:val="single"/>
        </w:rPr>
        <w:t xml:space="preserve">  × × ×  </w:t>
      </w:r>
      <w:r>
        <w:rPr>
          <w:rFonts w:ascii="SimSun" w:hAnsi="SimSun" w:eastAsia="SimSun" w:cs="SimSun"/>
          <w:color w:val="000000"/>
          <w:sz w:val="24"/>
        </w:rPr>
        <w:t xml:space="preserve">号的招投标邀请活动。代理人在招标活动过程中所签署的一切文件和处理与这有关的一切事务，我均予以承认。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代理人在授权委托书有效期内签署的所有文件不因授权委托的撤销而失效，除非有撤销授权委托的书面通知，本授权委托书自招标活动开始至合同履行完毕止。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代理人无转委托权。特此委托。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2、投标承诺函</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投标承诺函</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号采购文件，经仔细阅读和研究，我们决定参加招标活动。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采购文件的一切要求，提供完成该项目的全部内容，我们的投标报价包括服务内容、人工、拟投入工具设备及耗材、管理、维护、交通费、住宿费、餐饮费、耗材、各种税费、工作场所、通讯器材、办公设备、政策性文件规定及合同包含的所有风险、责任等各项应有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2、如果我们的投标响应文件被接受，我们将严格履行采购文件中规定的每一项要求，按期、按质、按量履行合同的义务。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3、我们已详细审查全部采购文件，包括补充文件(如有)。我们完全理解并同意放弃对这方面有不明及误解的权力。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4、我们同意按采购文件中的规定，本投标响应文件的有效期限为招标开始后</w:t>
      </w:r>
      <w:r>
        <w:rPr>
          <w:rFonts w:ascii="SimSun" w:hAnsi="SimSun" w:eastAsia="SimSun" w:cs="SimSun"/>
          <w:color w:val="000000"/>
          <w:sz w:val="24"/>
          <w:u w:val="single"/>
        </w:rPr>
        <w:t xml:space="preserve">  60</w:t>
      </w:r>
      <w:r>
        <w:rPr>
          <w:rFonts w:ascii="SimSun" w:hAnsi="SimSun" w:eastAsia="SimSun" w:cs="SimSun"/>
          <w:color w:val="000000"/>
          <w:sz w:val="24"/>
        </w:rPr>
        <w:t xml:space="preserve">  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5、我们愿意提供采购单位在采购文件中要求的所有资料。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6、我们声明：我们在参加本次政府采购活动前3年内在经营活动中没有重大违法记录。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7、我们愿意遵守采购文件中所列的收费标准。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8、我们承诺该投标响应文件在招标开始后的全过程中保持有效，不作任何更改和变动。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9、我们承诺我公司符合招标文件投标供应商须知中“合格投标供应商的条件”的要求，若与真实情况不符，本公司愿意承担由此而产生的一切后果。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10、综合说明：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（1）伴随服务及配合措施；（2）要求甲方提供的配合；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（3）对采购文件有不同意见的偏离说明；（4）其它说明。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所有有关招标文件的函电，请按下列地址联系：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单位：联系人：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联系电话：传真：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48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48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3400" w:right="0" w:firstLine="425"/>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 </w:t>
      </w:r>
      <w:r/>
    </w:p>
    <w:p>
      <w:pPr>
        <w:ind w:left="3400" w:right="0" w:firstLine="425"/>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 </w:t>
      </w:r>
      <w:r/>
    </w:p>
    <w:p>
      <w:pPr>
        <w:ind w:left="3400" w:right="0" w:firstLine="425"/>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 </w:t>
      </w:r>
      <w:r/>
    </w:p>
    <w:p>
      <w:pPr>
        <w:ind w:left="3400" w:right="0" w:firstLine="425"/>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 </w:t>
      </w:r>
      <w:r/>
    </w:p>
    <w:p>
      <w:pPr>
        <w:ind w:left="3400" w:right="0" w:firstLine="425"/>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3、开标一览表</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开标一览表</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48"/>
        <w:gridCol w:w="4695"/>
      </w:tblGrid>
      <w:tr>
        <w:trPr>
          <w:trHeight w:val="10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10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（元人民币）</w:t>
            </w:r>
            <w:r/>
          </w:p>
        </w:tc>
      </w:tr>
      <w:tr>
        <w:trPr>
          <w:trHeight w:val="10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p>
        </w:tc>
      </w:tr>
    </w:tbl>
    <w:p>
      <w:pPr>
        <w:ind w:left="0" w:right="0" w:firstLine="72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注：报价金额≥258万元视为无效投标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48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48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24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w:t>
      </w:r>
      <w:r>
        <w:rPr>
          <w:rFonts w:ascii="SimSun" w:hAnsi="SimSun" w:eastAsia="SimSun" w:cs="SimSun"/>
          <w:b/>
          <w:color w:val="000000"/>
          <w:sz w:val="28"/>
        </w:rPr>
        <w:t xml:space="preserve">投标报价明细表</w:t>
      </w:r>
      <w:r/>
    </w:p>
    <w:p>
      <w:pPr>
        <w:ind w:left="0" w:right="0" w:firstLine="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28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（一）投标报价明细表</w:t>
      </w:r>
      <w:r/>
    </w:p>
    <w:p>
      <w:pPr>
        <w:ind w:left="0" w:right="0" w:firstLine="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1"/>
        <w:gridCol w:w="2360"/>
        <w:gridCol w:w="899"/>
        <w:gridCol w:w="899"/>
        <w:gridCol w:w="899"/>
        <w:gridCol w:w="899"/>
        <w:gridCol w:w="903"/>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199"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大写：元；小写：元</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注：1、本表报价的合计金额应与开标一览表报价一致</w:t>
      </w:r>
      <w:r/>
    </w:p>
    <w:p>
      <w:pPr>
        <w:ind w:left="0" w:right="0" w:firstLine="574"/>
        <w:jc w:val="both"/>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48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48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12"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shd w:val="nil" w:color="auto"/>
      </w:pPr>
      <w:r>
        <w:br w:type="page" w:clear="all"/>
      </w:r>
      <w:r/>
    </w:p>
    <w:p>
      <w:pPr>
        <w:ind w:left="0" w:right="0" w:firstLine="0"/>
        <w:jc w:val="both"/>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（二）投标报价合理性说明（如有）</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48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48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5、商务条款偏离表</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商务条款偏离表</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8"/>
        <w:gridCol w:w="1921"/>
        <w:gridCol w:w="2582"/>
        <w:gridCol w:w="2694"/>
        <w:gridCol w:w="1097"/>
      </w:tblGrid>
      <w:tr>
        <w:trPr>
          <w:trHeight w:val="4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的投标文件（除技术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48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48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6、服务要求响应及偏离表</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服务要求响应及偏离表</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0"/>
        <w:gridCol w:w="2194"/>
        <w:gridCol w:w="2098"/>
        <w:gridCol w:w="1560"/>
        <w:gridCol w:w="1740"/>
      </w:tblGrid>
      <w:tr>
        <w:trPr>
          <w:trHeight w:val="7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招标服务要求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响应服务要求描述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偏离内容及原因</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、供应商应根据项目需求中的服务要求情况进行逐项评议。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、若无偏离，在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有无偏离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栏中填写</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；若有偏离在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有无偏离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栏中填写</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偏离内容及原因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栏中作出说明；若供应商对某一事项是否存在或是否属于偏离不能确定，亦必须清楚标明该事项并在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有无偏离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栏中填写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不能确定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、表格不够可另接。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48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48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7、拟投入本项目人员一览表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拟投入本项目的人员一览表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7"/>
        <w:gridCol w:w="937"/>
        <w:gridCol w:w="848"/>
        <w:gridCol w:w="621"/>
        <w:gridCol w:w="656"/>
        <w:gridCol w:w="1511"/>
        <w:gridCol w:w="1720"/>
        <w:gridCol w:w="716"/>
      </w:tblGrid>
      <w:tr>
        <w:trPr>
          <w:trHeight w:val="8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从事本工作时间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48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48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8、业绩一览表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业绩一览表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36"/>
        <w:gridCol w:w="1356"/>
        <w:gridCol w:w="1327"/>
        <w:gridCol w:w="1347"/>
        <w:gridCol w:w="1965"/>
        <w:gridCol w:w="12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7" w:type="dxa"/>
            <w:vAlign w:val="center"/>
            <w:textDirection w:val="lrTb"/>
            <w:noWrap w:val="false"/>
          </w:tcPr>
          <w:p>
            <w:pPr>
              <w:ind w:left="0" w:right="0" w:firstLine="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w:t>
            </w:r>
            <w:r/>
          </w:p>
          <w:p>
            <w:pPr>
              <w:ind w:left="0" w:right="0" w:firstLine="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48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48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9、参加政府采购活动前三年内，在经营活动中没有重大违法记录声明</w:t>
      </w:r>
      <w:r/>
    </w:p>
    <w:p>
      <w:pPr>
        <w:ind w:left="-21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参加政府采购活动前三年内，在经营活动中没有重大违法记录声明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致：中证房地产评估造价集团有限公司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 在参加政府采购活动前三年内，没有重大违法记录，特此声明。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若采购人或采购代理机构在本项目采购过程中发现我单位近三年内在政府采购活动中有重大违法记录，我单位将无条件退出本项目的招标，并承担因此引起的一起后果。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48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48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10、投标人情况表</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投标人情况表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63"/>
        <w:gridCol w:w="1484"/>
        <w:gridCol w:w="1484"/>
        <w:gridCol w:w="1978"/>
        <w:gridCol w:w="1484"/>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3" w:type="dxa"/>
            <w:vAlign w:val="top"/>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top"/>
            <w:textDirection w:val="lrTb"/>
            <w:noWrap w:val="false"/>
          </w:tcPr>
          <w:p>
            <w:pPr>
              <w:ind w:left="126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62" w:type="dxa"/>
            <w:vAlign w:val="top"/>
            <w:textDirection w:val="lrTb"/>
            <w:noWrap w:val="false"/>
          </w:tcPr>
          <w:p>
            <w:pPr>
              <w:ind w:left="126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3" w:type="dxa"/>
            <w:vAlign w:val="top"/>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top"/>
            <w:textDirection w:val="lrTb"/>
            <w:noWrap w:val="false"/>
          </w:tcPr>
          <w:p>
            <w:pPr>
              <w:ind w:left="126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2" w:type="dxa"/>
            <w:vAlign w:val="top"/>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3" w:type="dxa"/>
            <w:vAlign w:val="top"/>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9" w:type="dxa"/>
            <w:vAlign w:val="top"/>
            <w:textDirection w:val="lrTb"/>
            <w:noWrap w:val="false"/>
          </w:tcPr>
          <w:p>
            <w:pPr>
              <w:ind w:left="126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3" w:type="dxa"/>
            <w:vAlign w:val="top"/>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top"/>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6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top"/>
            <w:textDirection w:val="lrTb"/>
            <w:noWrap w:val="false"/>
          </w:tcPr>
          <w:p>
            <w:pPr>
              <w:ind w:left="126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3" w:type="dxa"/>
            <w:vAlign w:val="center"/>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10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2" w:type="dxa"/>
            <w:vAlign w:val="center"/>
            <w:textDirection w:val="lrTb"/>
            <w:noWrap w:val="false"/>
          </w:tcPr>
          <w:p>
            <w:pPr>
              <w:ind w:left="126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3" w:type="dxa"/>
            <w:vAlign w:val="center"/>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2" w:type="dxa"/>
            <w:vAlign w:val="center"/>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3" w:type="dxa"/>
            <w:vAlign w:val="top"/>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top"/>
            <w:textDirection w:val="lrTb"/>
            <w:noWrap w:val="false"/>
          </w:tcPr>
          <w:p>
            <w:pPr>
              <w:ind w:left="126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2" w:type="dxa"/>
            <w:vAlign w:val="top"/>
            <w:textDirection w:val="lrTb"/>
            <w:noWrap w:val="false"/>
          </w:tcPr>
          <w:p>
            <w:pPr>
              <w:ind w:left="126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3" w:type="dxa"/>
            <w:vAlign w:val="top"/>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4" w:type="dxa"/>
            <w:vAlign w:val="top"/>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自有面积         平方米</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承租面积         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3" w:type="dxa"/>
            <w:vAlign w:val="center"/>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9" w:type="dxa"/>
            <w:vAlign w:val="top"/>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3" w:type="dxa"/>
            <w:vAlign w:val="center"/>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9" w:type="dxa"/>
            <w:vAlign w:val="top"/>
            <w:textDirection w:val="lrTb"/>
            <w:noWrap w:val="false"/>
          </w:tcPr>
          <w:p>
            <w:pPr>
              <w:ind w:left="126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3" w:type="dxa"/>
            <w:vAlign w:val="top"/>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9" w:type="dxa"/>
            <w:vAlign w:val="top"/>
            <w:textDirection w:val="lrTb"/>
            <w:noWrap w:val="false"/>
          </w:tcPr>
          <w:p>
            <w:pPr>
              <w:ind w:left="126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3" w:type="dxa"/>
            <w:vAlign w:val="top"/>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9" w:type="dxa"/>
            <w:vAlign w:val="top"/>
            <w:textDirection w:val="lrTb"/>
            <w:noWrap w:val="false"/>
          </w:tcPr>
          <w:p>
            <w:pPr>
              <w:ind w:left="126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3" w:type="dxa"/>
            <w:vAlign w:val="top"/>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9" w:type="dxa"/>
            <w:vAlign w:val="top"/>
            <w:textDirection w:val="lrTb"/>
            <w:noWrap w:val="false"/>
          </w:tcPr>
          <w:p>
            <w:pPr>
              <w:ind w:left="126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3" w:type="dxa"/>
            <w:vAlign w:val="top"/>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9" w:type="dxa"/>
            <w:vAlign w:val="top"/>
            <w:textDirection w:val="lrTb"/>
            <w:noWrap w:val="false"/>
          </w:tcPr>
          <w:p>
            <w:pPr>
              <w:ind w:left="126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3" w:type="dxa"/>
            <w:vAlign w:val="top"/>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9" w:type="dxa"/>
            <w:vAlign w:val="top"/>
            <w:textDirection w:val="lrTb"/>
            <w:noWrap w:val="false"/>
          </w:tcPr>
          <w:p>
            <w:pPr>
              <w:ind w:left="126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3" w:type="dxa"/>
            <w:vAlign w:val="top"/>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9" w:type="dxa"/>
            <w:vAlign w:val="top"/>
            <w:textDirection w:val="lrTb"/>
            <w:noWrap w:val="false"/>
          </w:tcPr>
          <w:p>
            <w:pPr>
              <w:ind w:left="126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11、中小企业声明函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本公司郑重声明，根据《政府采购促进中小企业发展管理办法》（财库﹝2020﹞46号）的规定，本公司参加</w:t>
      </w:r>
      <w:r>
        <w:rPr>
          <w:rFonts w:ascii="SimSun" w:hAnsi="SimSun" w:eastAsia="SimSun" w:cs="SimSun"/>
          <w:i/>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采购活动，服务全部由符合政策要求的中小企业承接。相关企业的具体情况如下：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2026年-2028年冻猪肉储备服务 </w:t>
      </w:r>
      <w:r>
        <w:rPr>
          <w:rFonts w:ascii="SimSun" w:hAnsi="SimSun" w:eastAsia="SimSun" w:cs="SimSun"/>
          <w:color w:val="000000"/>
          <w:sz w:val="24"/>
        </w:rPr>
        <w:t xml:space="preserve">属于</w:t>
      </w:r>
      <w:r>
        <w:rPr>
          <w:rFonts w:ascii="SimSun" w:hAnsi="SimSun" w:eastAsia="SimSun" w:cs="SimSun"/>
          <w:color w:val="000000"/>
          <w:sz w:val="24"/>
          <w:u w:val="single"/>
        </w:rPr>
        <w:t xml:space="preserve"> 仓储业 </w:t>
      </w:r>
      <w:r>
        <w:rPr>
          <w:rFonts w:ascii="SimSun" w:hAnsi="SimSun" w:eastAsia="SimSun" w:cs="SimSun"/>
          <w:color w:val="000000"/>
          <w:sz w:val="24"/>
        </w:rPr>
        <w:t xml:space="preserve">行业；承接企业为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ab/>
      </w:r>
      <w:r>
        <w:rPr>
          <w:rFonts w:ascii="SimSun" w:hAnsi="SimSun" w:eastAsia="SimSun" w:cs="SimSun"/>
          <w:color w:val="000000"/>
          <w:sz w:val="24"/>
        </w:rPr>
        <w:t xml:space="preserve">人，营业收入为</w:t>
      </w:r>
      <w:r>
        <w:rPr>
          <w:rFonts w:ascii="SimSun" w:hAnsi="SimSun" w:eastAsia="SimSun" w:cs="SimSun"/>
          <w:color w:val="000000"/>
          <w:sz w:val="24"/>
          <w:u w:val="single"/>
        </w:rPr>
        <w:tab/>
      </w:r>
      <w:r>
        <w:rPr>
          <w:rFonts w:ascii="SimSun" w:hAnsi="SimSun" w:eastAsia="SimSun" w:cs="SimSun"/>
          <w:color w:val="000000"/>
          <w:sz w:val="24"/>
        </w:rPr>
        <w:t xml:space="preserve">万元，资产总额为</w:t>
      </w:r>
      <w:r>
        <w:rPr>
          <w:rFonts w:ascii="SimSun" w:hAnsi="SimSun" w:eastAsia="SimSun" w:cs="SimSun"/>
          <w:color w:val="000000"/>
          <w:sz w:val="24"/>
          <w:u w:val="single"/>
        </w:rPr>
        <w:tab/>
      </w:r>
      <w:r>
        <w:rPr>
          <w:rFonts w:ascii="SimSun" w:hAnsi="SimSun" w:eastAsia="SimSun" w:cs="SimSun"/>
          <w:color w:val="000000"/>
          <w:sz w:val="24"/>
        </w:rPr>
        <w:t xml:space="preserve">万元</w:t>
      </w:r>
      <w:hyperlink r:id="rId13" w:tooltip="http://jszfcg.jsczt.cn/jszc/onlyoffice/7.2.1-34/web-apps/apps/documenteditor/main/index_loader.html?_dc=7.2.1-34&amp;lang=zh&amp;customer=%20&amp;logo=%20&amp;headerlogo=%2Ffavicon.ico&amp;frameEditorId=iframePage&amp;compact=true&amp;parentOrigin=http://jszfcg.jsczt.cn#_bookmark1" w:history="1">
        <w:r>
          <w:rPr>
            <w:rStyle w:val="969"/>
            <w:rFonts w:ascii="Times New Roman" w:hAnsi="Times New Roman" w:eastAsia="Times New Roman" w:cs="Times New Roman"/>
            <w:color w:val="0000ee"/>
            <w:sz w:val="24"/>
            <w:u w:val="none"/>
          </w:rPr>
          <w:t xml:space="preserve">1</w:t>
        </w:r>
      </w:hyperlink>
      <w:r>
        <w:rPr>
          <w:rFonts w:ascii="SimSun" w:hAnsi="SimSun" w:eastAsia="SimSun" w:cs="SimSun"/>
          <w:color w:val="000000"/>
          <w:sz w:val="24"/>
        </w:rPr>
        <w:t xml:space="preserve">，属于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112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bookmark1" w:history="1">
        <w:r>
          <w:rPr>
            <w:rStyle w:val="969"/>
            <w:rFonts w:ascii="SimSun" w:hAnsi="SimSun" w:eastAsia="SimSun" w:cs="SimSun"/>
            <w:color w:val="0000ee"/>
            <w:sz w:val="24"/>
            <w:u w:val="none"/>
          </w:rPr>
          <w:t xml:space="preserve">1</w:t>
        </w:r>
      </w:hyperlink>
      <w:r>
        <w:rPr>
          <w:rFonts w:ascii="SimSun" w:hAnsi="SimSun" w:eastAsia="SimSun" w:cs="SimSun"/>
          <w:color w:val="000000"/>
          <w:sz w:val="24"/>
        </w:rPr>
        <w:t xml:space="preserve">从业人员、营业收入、资产总额填报上一年度数据，无上一年度数据的新成立企业可不填报。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1、中小企业参加政府采购活动，应当出具《中小企业声明函》，否则不得享受相关中小企业扶持政策。</w:t>
      </w:r>
      <w:r/>
    </w:p>
    <w:p>
      <w:pPr>
        <w:ind w:left="0" w:right="0" w:firstLine="43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2、供应商提供声明函内容不实的，属于提供虚假材料谋取中标、成交，依照《中华人民共和国政府采购法》 等国家有关规定追究相应责任。</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12、残疾人福利性单位声明函（如有）</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1928"/>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shd w:val="nil" w:color="auto"/>
      </w:pPr>
      <w:r>
        <w:rPr>
          <w:rFonts w:ascii="SimSun" w:hAnsi="SimSun" w:eastAsia="SimSun" w:cs="SimSun"/>
          <w:b/>
          <w:color w:val="000000"/>
          <w:sz w:val="24"/>
          <w:highlight w:val="none"/>
        </w:rPr>
        <w:br w:type="page" w:clear="all"/>
      </w:r>
      <w:r>
        <w:rPr>
          <w:rFonts w:ascii="SimSun" w:hAnsi="SimSun" w:eastAsia="SimSun" w:cs="SimSun"/>
          <w:b/>
          <w:color w:val="000000"/>
          <w:sz w:val="24"/>
          <w:highlight w:val="none"/>
        </w:rPr>
      </w:r>
      <w:r/>
    </w:p>
    <w:p>
      <w:pPr>
        <w:ind w:left="0" w:right="0" w:firstLine="0"/>
        <w:jc w:val="both"/>
        <w:spacing w:before="0" w:after="0" w:line="380"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13：关于资格文件的声明函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关于资格文件的声明函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号的招标活动进行投标。本公司所提交的投标文件中所有关于投标资格的文件、证明和陈述均是真实的、准确的。若与真实情况不符，本公司愿意承担由此而产生的一切后果。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48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48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shd w:val="nil" w:color="auto"/>
      </w:pPr>
      <w:r>
        <w:rPr>
          <w:rFonts w:ascii="SimSun" w:hAnsi="SimSun" w:eastAsia="SimSun" w:cs="SimSun"/>
          <w:b/>
          <w:color w:val="000000"/>
          <w:sz w:val="28"/>
          <w:highlight w:val="none"/>
        </w:rPr>
        <w:br w:type="page" w:clear="all"/>
      </w:r>
      <w:r>
        <w:rPr>
          <w:rFonts w:ascii="SimSun" w:hAnsi="SimSun" w:eastAsia="SimSun" w:cs="SimSun"/>
          <w:b/>
          <w:color w:val="000000"/>
          <w:sz w:val="28"/>
          <w:highlight w:val="none"/>
        </w:rPr>
      </w:r>
      <w:r/>
    </w:p>
    <w:p>
      <w:pPr>
        <w:pStyle w:val="713"/>
        <w:ind w:left="0" w:right="0" w:firstLine="0"/>
        <w:jc w:val="center"/>
        <w:spacing w:before="156" w:after="156"/>
        <w:tabs>
          <w:tab w:val="left" w:pos="1134" w:leader="none"/>
        </w:tabs>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第四章 招标采购内容</w:t>
      </w:r>
      <w:r/>
    </w:p>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一、项目名称：</w:t>
      </w:r>
      <w:r>
        <w:rPr>
          <w:rFonts w:ascii="SimSun" w:hAnsi="SimSun" w:eastAsia="SimSun" w:cs="SimSun"/>
          <w:color w:val="000000"/>
          <w:sz w:val="24"/>
        </w:rPr>
        <w:t xml:space="preserve">2026年-2028年冻猪肉储备服务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二、项目编号：</w:t>
      </w:r>
      <w:r>
        <w:rPr>
          <w:rFonts w:ascii="SimSun" w:hAnsi="SimSun" w:eastAsia="SimSun" w:cs="SimSun"/>
          <w:color w:val="000000"/>
          <w:sz w:val="24"/>
        </w:rPr>
        <w:t xml:space="preserve">JSZC-320585-ZZJT-G2026-0010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三、采购人：</w:t>
      </w:r>
      <w:r>
        <w:rPr>
          <w:rFonts w:ascii="SimSun" w:hAnsi="SimSun" w:eastAsia="SimSun" w:cs="SimSun"/>
          <w:color w:val="000000"/>
          <w:sz w:val="24"/>
        </w:rPr>
        <w:t xml:space="preserve">太仓市发展和改革委员会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四、服务期：</w:t>
      </w:r>
      <w:r>
        <w:rPr>
          <w:rFonts w:ascii="SimSun" w:hAnsi="SimSun" w:eastAsia="SimSun" w:cs="SimSun"/>
          <w:color w:val="000000"/>
          <w:sz w:val="24"/>
        </w:rPr>
        <w:t xml:space="preserve">2026年9月30日前储备完毕并投入使用，储备服务自2026年10月1日起至2029年9月30日止。</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五、服务内容及要求：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在储备期内必须保障合同约定的猪肉储备数量，本次储备量350吨。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（二）服务及管理要求：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1、承储企业对承储的冻猪肉实施动态管理，在服务期限内须无条件接受和配合采购方的监督管理。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2、安全卫生管理：具有组织、管理冷冻猪肉和冷库的能力和完善的食品安全保障制度，能够承担储备肉的安全责任；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3、配送管理：企业具备完整的配送团队和设备，具有冷链物流配送体系，具有完成紧急配送任务的能力；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4、在库管理：猪肉储备必须实行专仓(专垛)和专栏承储、专人管理、专账记载、挂牌明示，确保账账相符、账实相符、质量良好和储存安全,每季度交采购人核查。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轮换管理：承储企业在满足储备任务要求的前提下，可以根据储备肉保质期等情况自行轮换出库。冻猪肉储备按照不超过4个月的期限轮换更新一次，冷鲜肉储备按照不超过7天的期限轮换更新一次。承储企业在满足储备计划要求的前提下，可以按正常更新轮换要求自行出售储备冻肉，自负盈亏。更新轮换过程中，不允许冻肉储备库存猪肉储备数量低于350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源头及质量控制管理：猪肉储备入库质量应符合《鲜、冻猪肉及猪副产品第1部分：片猪肉》（GB/T9959.1-2019）、《分割鲜、冻猪瘦肉》（GB/T9959.2-2026）、《鲜、冻猪肉及猪副产品第3部分：分部位分割猪肉》（GB/T9959.3-2019）的相关要求。进口产品需通过合法渠道采购，符合海关检验检疫和进口冷链食品相关防控管理要求。</w:t>
      </w:r>
      <w:r>
        <w:rPr>
          <w:rFonts w:ascii="SimSun" w:hAnsi="SimSun" w:eastAsia="SimSun" w:cs="SimSun"/>
          <w:b/>
          <w:color w:val="000000"/>
          <w:sz w:val="24"/>
        </w:rPr>
        <w:t xml:space="preserve">并报太仓市发展和改革委员会备案</w:t>
      </w:r>
      <w:r>
        <w:rPr>
          <w:rFonts w:ascii="SimSun" w:hAnsi="SimSun" w:eastAsia="SimSun" w:cs="SimSun"/>
          <w:color w:val="000000"/>
          <w:sz w:val="24"/>
        </w:rPr>
        <w:t xml:space="preserve">，确保储备肉质量与安全。收储品种为进口冻猪肉的，剩余保质期必须1年以上；收储品种为国产冻猪肉的，剩余保质期必须在半年以上。（说明：若本项目引用的国家标准在采购活动或合同履约期间有修订、废止或被新标准替代的，应自动适用届时最新的有效版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供应商必须有能储备要求量的冷库，冷库存储条件达到储备猪肉温控要求，且储存冷库须为供应商自有（产权归属于供应商）或租赁（租赁期必须涵盖本项目整个服务期限）。提供冷库平面图，标明拟配备的库位，有视频监控系统监控区域，供应商应确保视频监控系统设备处于正常运行状态。该冷库地址需在苏州地区范围内。未经采购人同意，供应商不得随意变更拟投入本项目的储存冷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8、冻肉收储品种为猪分割肉及包装类肉品（包括大排、肋排、小排、前腿肉、后腿肉、中方肉及猪副产品等），其中，猪副产品储备数量不得超过中标承储总量的5%。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9、投标供应商所提供的猪肉须具有国家动物卫生检疫监督管理机构出具的法定证、章标志，项目拟投人员须具有健康证</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10、投标供应商须提出针对本项目的理解和认知、项目组织实施方案、拟派项目人员的能力、服务经历等情况、拟投入相关设备的说明等。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11、在遭遇灾害性突发时间、疫情、其他自然灾害及市场波动或冷库自身突发状况时，承储企业应积极采取应对措施，所造成的损失由承储企业自行承担。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12、在采购人需要时，中标供应商应按市场挂牌价，无条件给采购人供应合同约定吨位的猪肉。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（三）报价要求：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1.报价按招标文件所要求的全部内容报价，含为完成本项目所需的全部费用。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2.报价中应包含市场价格风险和政策风险在内的一切费用，中标后，承包单位由于考虑不周，漏报、少报而要求追加报价将不会被采购单位所接受。</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发出后一个月内储备完毕并投入使用；自物品验收合格（以双方在验收报告签订日期为准），提供36个月服务；在服务期期内，除人为损坏和不可抗力因素外，中标供应商负责保管库存，控制性周转库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见采购合同样本</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1.中标供应商必须高度重视安全生产。保管期间，由于管理不善或作业工人操作不规范等因素造成的安全事故，均由中标供应商承担一切责任和损失。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必须自觉接受采购单位的定期（每季度不少于1次）或不定期检查和考核。采购方会不定期抽查中标供应商的储备情况，如中标供应商未达到合同储备标准，采购人有权责成中标供应商整改到位，酌情从冻猪肉储备费用中扣除缺少数量的冻猪肉储备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有新增合同，应报告太仓市发改委，根据中标供应商冷库总储备能力判断是否影响合同执行；如中标供应商提供措施方案执行有效，不破坏猪肉储备量，则继续履行合同；如中标供应商提供的措施方案无法执行或者执行影响合同的储备能力，采购人则有权终止合同，并要求中标供应商赔偿一切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4.中标供应商必须按照《劳动法》最低工资调整及苏州市的有关规定配置工作人员按月支付工资、节假日加班费，交纳社会保险，并根据工作性质购置保险等相关劳动保障措施。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5.采购单位与中标供应商服务人员不发生雇佣关系，中标供应商和用工人员应遵守采购单位的相关规章制度及安全操作规章制度，若发生人身伤害等工伤事故，由中标供应商自负，与采购单位无涉。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6.中标供应商服务人员的薪金、福利、休假日补贴、医疗费用及其他各种商业保险等均由中标供应商负责，与采购方无关。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7.异常低价审查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（一）按照财政部发布的《关于推动解决政府采购异常低价问题的通知》（ 财库〔2026〕2号）文，政府采购评审中出现下列情形之一的，评审委员会应当启动异常低价投标（响应）审查程序：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A、评审过程中出现下列情形之一的，评审委员会应当启动异常低价投标（响应）审查程序：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（七）凡涉及招标文件的补充说明和修改，均以苏州政府采购网、苏州公共资源交易平台发布的内容为准。</w:t>
      </w:r>
      <w:r/>
    </w:p>
    <w:p>
      <w:pPr>
        <w:ind w:left="480" w:right="0" w:firstLine="0"/>
        <w:jc w:val="center"/>
        <w:spacing w:before="320" w:after="320" w:line="113" w:lineRule="atLeast"/>
        <w:tabs>
          <w:tab w:val="left" w:pos="8302" w:leader="none"/>
          <w:tab w:val="left" w:pos="9022"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shd w:val="nil" w:color="auto"/>
        <w:rPr>
          <w14:ligatures w14:val="none"/>
        </w:rPr>
      </w:pPr>
      <w:r>
        <w:br w:type="page" w:clear="all"/>
      </w:r>
      <w:r>
        <w:rPr>
          <w14:ligatures w14:val="none"/>
        </w:rPr>
      </w:r>
      <w:r/>
    </w:p>
    <w:p>
      <w:pPr>
        <w:pStyle w:val="713"/>
        <w:ind w:left="0" w:right="0" w:firstLine="0"/>
        <w:jc w:val="center"/>
        <w:spacing w:before="156" w:after="156"/>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第五章 合同主要条款</w:t>
      </w:r>
      <w:r/>
    </w:p>
    <w:p>
      <w:pPr>
        <w:ind w:left="0" w:right="-252" w:firstLine="480"/>
        <w:jc w:val="both"/>
        <w:spacing w:before="0" w:after="156"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甲方：太仓市发展和改革委员会（以下简称甲方）</w:t>
      </w:r>
      <w:r/>
    </w:p>
    <w:p>
      <w:pPr>
        <w:ind w:left="0" w:right="-252" w:firstLine="480"/>
        <w:jc w:val="both"/>
        <w:spacing w:before="0" w:after="156"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乙方：（以下简称乙方）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根据《中华人民共和国政府采购法》、《中华人民共和国民法典》等法律法规的规定，甲、乙双方按照政府采购程序关于</w:t>
      </w:r>
      <w:r>
        <w:rPr>
          <w:rFonts w:ascii="SimSun" w:hAnsi="SimSun" w:eastAsia="SimSun" w:cs="SimSun"/>
          <w:color w:val="000000"/>
          <w:sz w:val="24"/>
          <w:u w:val="single"/>
        </w:rPr>
        <w:t xml:space="preserve"> 2026年-2028年冻猪肉储备服务 </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JSZC-320585-ZZJT-G2026-0010 </w:t>
      </w:r>
      <w:r>
        <w:rPr>
          <w:rFonts w:ascii="SimSun" w:hAnsi="SimSun" w:eastAsia="SimSun" w:cs="SimSun"/>
          <w:color w:val="000000"/>
          <w:sz w:val="24"/>
        </w:rPr>
        <w:t xml:space="preserve">）的招标结果，遵循平等、自愿、公平和诚实信用的原则，双方就太仓市发展和改革委员会的2026年-2028年冻猪肉储备服务采购项目相关事项协商一致，达成如下合同条款：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组成本合同的有关文件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下列与本次采购活动有关的文件及有关附件是本合同不可分割的组成部分，与本合同具有同等法律效力，这些文件包括但不限于：</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招标采购文件（编号：</w:t>
      </w:r>
      <w:r>
        <w:rPr>
          <w:rFonts w:ascii="SimSun" w:hAnsi="SimSun" w:eastAsia="SimSun" w:cs="SimSun"/>
          <w:color w:val="000000"/>
          <w:sz w:val="24"/>
          <w:u w:val="single"/>
        </w:rPr>
        <w:t xml:space="preserve"> JSZC-320585-ZZJT-G2026-0010 </w:t>
      </w:r>
      <w:r>
        <w:rPr>
          <w:rFonts w:ascii="SimSun" w:hAnsi="SimSun" w:eastAsia="SimSun" w:cs="SimSun"/>
          <w:color w:val="000000"/>
          <w:sz w:val="24"/>
        </w:rPr>
        <w:t xml:space="preserve">）</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乙方提供的投标文件和投标报价表；</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乙方在谈判过程中所作的其他承诺、声明、书面澄清等；</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甲乙双方商定的其他文件等。</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一、合同内容及范围</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甲方聘请乙方提供以下服务：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（1）本合同项下的服务指：2026年-2028年冻猪肉储备服务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（2）服务内容：提供太仓市市级储备冻猪肉350吨服务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（3）服务标准：详见采购文件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（4）交付时间、地点： 2026年10月1日-2029年9月30日，太仓市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b/>
          <w:color w:val="000000"/>
          <w:sz w:val="24"/>
        </w:rPr>
        <w:t xml:space="preserve">合同总价款 </w:t>
      </w: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合同价格按此次成交价格执行，合同总金额为人民币___________（大写）人民币，小写：（￥：）元整。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除非合同条款中另有规定，本合同执行期间合同总价款不变。</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 合同款支付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2、本合同项下的采购资金由甲方自行支付，乙方向甲方开具发票。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3、根据现行税法对乙方征收的与本合同有关的一切税费均由乙方承担。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4、付款步骤、方式：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合同签订，乙方全部储备量到位后，甲方结合每个年度考核情况，按年度付款。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甲方支付合同总额的10%作为预付款，乙方全部储备量到位后，甲方在第一年度（2026年10月1日至2027年9月30日）定期和不定期考核合格，支付合同款1/3费用。在第二年度（2027年10月1日至2028年9月30日）定期和不定期考核合格，支付合同款1/3费用。在第三年度（2028年10月1日至2029年9月30日）定期和不定期考核合格，支付剩余合同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采购人付款时，中标供应商需提前五个工作日提供合格的发票等甲方要求的付款凭证资料。</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四、服务质量、成果要求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1、项目完成后甲方将组织专业人员进行项目的验收工作，如存在问题，乙方应进行改进，直至验收合格为止；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2、验收标准:按采购文件要求、乙方的投标承诺或国家相关标准。</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五、甲、乙双方权利义务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1、甲方应当为保证项目服务的完成，给予乙方积极支持，为乙方提供项目实施的必要条件；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2、甲方应当按照本合同约定按时支付合同金额。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3、乙方提交的服务成果未经甲方书面许可，不得向任何第三方泄露。</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4、乙方提供必要的技术培训，协助甲方完成其他需要中标单位配合的服务。</w:t>
      </w:r>
      <w:r/>
    </w:p>
    <w:p>
      <w:pPr>
        <w:ind w:left="0" w:right="0" w:firstLine="480"/>
        <w:jc w:val="both"/>
        <w:spacing w:before="0" w:after="0" w:line="4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5、乙方根据国家标准、行业标准和规范要求及标书规定的服务质量标准和有关要求，保质保量地完成服务工作。</w:t>
      </w:r>
      <w:r/>
    </w:p>
    <w:p>
      <w:pPr>
        <w:ind w:left="0" w:right="0" w:firstLine="482"/>
        <w:jc w:val="both"/>
        <w:spacing w:before="0" w:after="0" w:line="4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六、知识产权</w:t>
      </w:r>
      <w:r/>
    </w:p>
    <w:p>
      <w:pPr>
        <w:ind w:left="0" w:right="0" w:firstLine="480"/>
        <w:jc w:val="both"/>
        <w:spacing w:before="0" w:after="0" w:line="4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1、在合同履行过程中，由甲方向乙方提供的资料－－包括但不限于程序、文件、报告、说明、图表等均归甲方所有。</w:t>
      </w:r>
      <w:r/>
    </w:p>
    <w:p>
      <w:pPr>
        <w:numPr>
          <w:ilvl w:val="0"/>
          <w:numId w:val="5"/>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七、保密条款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八、风险责任</w:t>
      </w:r>
      <w:r/>
    </w:p>
    <w:p>
      <w:pPr>
        <w:ind w:left="0" w:right="0" w:firstLine="480"/>
        <w:jc w:val="both"/>
        <w:spacing w:before="0" w:after="0" w:line="4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九、履约保证金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1、乙方应按招标文件的约定要求提供相应的履约保证金。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2、履约保证金的有效期为合同生效之日起至合同主要义务履行完毕止。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3、如乙方未能履行合同规定的义务，或因乙方责任应由乙方承担的赔偿未完成，甲方有权从履约保证金中取得补偿。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4、履约保证金待合同主要义务全部履行完毕后全额退回（不计息）。</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十、合同的变更和终止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1、本合同一经签订，甲乙双方不得擅自变更、中止或终止合同。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2、除发生法律规定的不能预见、不能避免并不能克服的客观情况外，甲乙双方不得放弃或拒绝履行合同。乙方放弃或拒绝履行合同，保证金不予退还。</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十一、合同的转让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1、乙方不得擅自部分或全部转让其应履行的合同义务。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2、乙方在履行合同过程中，不得将服务项目委托给第三方。</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十二、违约责任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1、在合同生效后，甲方无理由要求终止服务的，应向乙方偿付合同总价款的5%，作为违约金，违约金不足以补偿损失的，乙方有权要求甲方补足。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2、甲方逾期付款的，应按照逾期付款金额的每天万分之四支付逾期付款违约金。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4、乙方项目组成员须按招标文件承诺人员配备，未经甲方同意不得擅自更换；如更换需向甲方支付赔偿金。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6、其他未尽事宜，以《民法典法》和《政府采购法》等有关法律法规规定为准，无相关规定的，双方协商解决。</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十三、不可抗力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方中任何一方，因不可抗力不能按时或完全履行合同的，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因合同一方迟延履行后发生不可抗力的，不能免除责任。</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十四、索赔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十五、争议的解决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1、因服务的质量问题发生争议的，应当邀请国家认可的质量检测机构对服务项目质量进行鉴定。项目符合标准的，鉴定费由甲方承担；项目不符合质量标准的，鉴定费由乙方承担。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2、因履行本合同引起的或与本合同有关的争议，甲、乙双方应首先通过友好协商解决，如果协商不能解决争议，则向甲方所在地有管辖权的人民法院提起诉讼；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3、在法院审理和仲裁期间，除有争议部分外，本合同其他部分应继续履行。</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十六、诚实信用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乙方应诚实信用，严格按照招标文件要求和投标承诺履行合同，不向甲方进行商业贿赂或者提供不正当利益。</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十七、合同生效及其他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1、本合同自经甲乙双方授权代表签订并加盖公章后，自签订之日起生效。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2、本合同正本一式六份，具有同等法律效力，甲方、乙方、代理机构各执两份。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（盖章）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 </w:t>
      </w:r>
      <w:r/>
    </w:p>
    <w:p>
      <w:pPr>
        <w:ind w:left="0" w:right="0" w:firstLine="480"/>
        <w:jc w:val="both"/>
        <w:spacing w:before="0" w:after="156"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56"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56"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56"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56"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56"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2"/>
        <w:jc w:val="center"/>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第六章 评标办法与评分标准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一、评标办法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（一）、本次招标评标采用为综合评分法，即在满足招标文件实质性要求前提下，按照招标文件中规定的评分标准和各项因素进行综合评审，以评标总得分最高的投标人作为中标候选人。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（三）、评标委员会各成员独立对每个进入打分程序的有效投标人的标书以打分的形式进行评审和评价（计算结果均四舍五入保留两位小数）。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（四）、如出现评标总得分最高的投标人有两个或两个以上的，以投标报价较低者优先作为中标候选人，如果投标报价也相同的，则由评标委员会组织以抽签方式确定中标候选人。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二、评分标准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的评标方法采用综合评分法，总分值为100分，分析总报价及各个分项报价是否合理，报价范围是否完整，有否重大错漏项，特别说明：如果某投标人的投标报价中有漏项，则该投标人的投标价格评分时需加上漏项部分，漏项部分的价格按所有投标人中相应部分所报的最高价格计算，如果该投标人中标，则其中标价不能调整，即漏项部分的价格需该投标人自行消化（如构成未实质性响应采购文件要求的，将不得中标）。</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9"/>
        <w:gridCol w:w="1250"/>
        <w:gridCol w:w="708"/>
        <w:gridCol w:w="6000"/>
      </w:tblGrid>
      <w:tr>
        <w:trPr>
          <w:trHeight w:val="4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权值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投标报价不超过采购预算价格的为有效投标报价。超出此范围的投标报价为无效投标报价。无效投标报价的投标文件不进行评审，也不得标；</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价格分采用低价优先法计算，即满足招标文件要求且投标价格最低的投标报价为评标基准价，其价格分为满分。其他投标供应商的价格分统一按照下列公式计算（计算结果四舍五入保留两位小数）：</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（评标基准价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投标报价）</w:t>
            </w:r>
            <w:r>
              <w:rPr>
                <w:rFonts w:ascii="Times New Roman" w:hAnsi="Times New Roman" w:eastAsia="Times New Roman" w:cs="Times New Roman"/>
                <w:color w:val="000000"/>
                <w:sz w:val="24"/>
              </w:rPr>
              <w:t xml:space="preserve">*10%*100  </w:t>
            </w:r>
            <w:r/>
          </w:p>
        </w:tc>
      </w:tr>
      <w:tr>
        <w:trPr>
          <w:trHeight w:val="3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源头及质量控制方案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根据响应单位提供的冻猪肉源头及质量控制方案进行评分，方案内容至少包括：①猪肉产地控制、②溯源管理体系、③质控检验体系。方案内容完整、针对本项目且符合本项目实际需求的，每满足一项得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分，本项总分</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注：提供货源保障说明及证明材料</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响应单位提供的应急服务方案进行评分，方案至少包括①灾害性突发事件应急预案、②重大动物疫情应急预案、③市场价格异常波动预案、④冷库、冷链突发事件预案。方案内容完整、针对本项目且符合本项目实际需求的，每满足一项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分，本项总分</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响应单位提供的配送能力方案进行评分，方案至少包括①配送团队人员配置、②配送车辆、设备配置、③冷链温控与品质保障措施、④路线规划与在途保障。方案内容完整、针对本项目且符合本项目实际需求的，每满足一项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分，本项总分</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w:t>
            </w:r>
            <w:r/>
            <w:r>
              <w:rPr>
                <w:rFonts w:ascii="SimSun" w:hAnsi="SimSun" w:eastAsia="SimSun" w:cs="SimSun"/>
                <w:color w:val="000000"/>
                <w:sz w:val="24"/>
              </w:rPr>
            </w:r>
            <w: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在库管理方案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响应单位提供的在库管理方案进行评分，方案至少包括①专仓（专垛）和专栏承储、②专人管理、③专账记载、④挂牌明示四方面，确保账账相符、账实相符、质量良好和储存安全。方案内容完整、针对本项目且符合本项目实际需求的，每满足一项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分，本项总分</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安全卫生管控方案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响应单位提供的安全卫生管控方案进行评分，方案至少包括①运输流程管控、②储存环境控制、③冷链疫情防控、④服务人员健康证配备进行评定。方案内容完整、针对本项目且符合本项目实际需求的，每满足一项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分，本项总分</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分。</w:t>
            </w:r>
            <w:r/>
          </w:p>
        </w:tc>
      </w:tr>
      <w:tr>
        <w:trPr>
          <w:trHeight w:val="1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轮换管理方案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根据响应单位提供的轮换管理方案进行评分，方案至少包括</w:t>
            </w:r>
            <w:r>
              <w:rPr>
                <w:rFonts w:ascii="Cambria Math" w:hAnsi="Cambria Math" w:eastAsia="Cambria Math" w:cs="Cambria Math"/>
                <w:color w:val="000000"/>
                <w:sz w:val="24"/>
              </w:rPr>
              <w:t xml:space="preserve">①</w:t>
            </w:r>
            <w:r>
              <w:rPr>
                <w:rFonts w:ascii="SimSun" w:hAnsi="SimSun" w:eastAsia="SimSun" w:cs="SimSun"/>
                <w:color w:val="000000"/>
                <w:sz w:val="24"/>
              </w:rPr>
              <w:t xml:space="preserve">冻猪肉储备轮换管理周期、</w:t>
            </w:r>
            <w:r>
              <w:rPr>
                <w:rFonts w:ascii="Cambria Math" w:hAnsi="Cambria Math" w:eastAsia="Cambria Math" w:cs="Cambria Math"/>
                <w:color w:val="000000"/>
                <w:sz w:val="24"/>
              </w:rPr>
              <w:t xml:space="preserve">②</w:t>
            </w:r>
            <w:r>
              <w:rPr>
                <w:rFonts w:ascii="SimSun" w:hAnsi="SimSun" w:eastAsia="SimSun" w:cs="SimSun"/>
                <w:color w:val="000000"/>
                <w:sz w:val="24"/>
              </w:rPr>
              <w:t xml:space="preserve">冻猪肉储备轮换方式、</w:t>
            </w:r>
            <w:r>
              <w:rPr>
                <w:rFonts w:ascii="Cambria Math" w:hAnsi="Cambria Math" w:eastAsia="Cambria Math" w:cs="Cambria Math"/>
                <w:color w:val="000000"/>
                <w:sz w:val="24"/>
              </w:rPr>
              <w:t xml:space="preserve">③</w:t>
            </w:r>
            <w:r>
              <w:rPr>
                <w:rFonts w:ascii="SimSun" w:hAnsi="SimSun" w:eastAsia="SimSun" w:cs="SimSun"/>
                <w:color w:val="000000"/>
                <w:sz w:val="24"/>
              </w:rPr>
              <w:t xml:space="preserve">轮换质量标准、</w:t>
            </w:r>
            <w:r>
              <w:rPr>
                <w:rFonts w:ascii="Cambria Math" w:hAnsi="Cambria Math" w:eastAsia="Cambria Math" w:cs="Cambria Math"/>
                <w:color w:val="000000"/>
                <w:sz w:val="24"/>
              </w:rPr>
              <w:t xml:space="preserve">④</w:t>
            </w:r>
            <w:r>
              <w:rPr>
                <w:rFonts w:ascii="SimSun" w:hAnsi="SimSun" w:eastAsia="SimSun" w:cs="SimSun"/>
                <w:color w:val="000000"/>
                <w:sz w:val="24"/>
              </w:rPr>
              <w:t xml:space="preserve">轮换台账管理。方案内容完整、针对本项目且符合本项目实际需求的，每满足一项得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分，本项总分</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分。</w:t>
            </w:r>
            <w:r/>
          </w:p>
        </w:tc>
      </w:tr>
      <w:tr>
        <w:trPr>
          <w:trHeight w:val="1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冷库存储能力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响应单位库址在苏州地区范围内，交通便利，具有完成紧急配送任务的能力。用于本项目的冷库储存能力（如已承担以它储备服务的，应扣除）在满足采购需求（</w:t>
            </w:r>
            <w:r>
              <w:rPr>
                <w:rFonts w:ascii="Times New Roman" w:hAnsi="Times New Roman" w:eastAsia="Times New Roman" w:cs="Times New Roman"/>
                <w:color w:val="000000"/>
                <w:sz w:val="24"/>
              </w:rPr>
              <w:t xml:space="preserve">350</w:t>
            </w:r>
            <w:r>
              <w:rPr>
                <w:rFonts w:ascii="SimSun" w:hAnsi="SimSun" w:eastAsia="SimSun" w:cs="SimSun"/>
                <w:color w:val="000000"/>
                <w:sz w:val="24"/>
              </w:rPr>
              <w:t xml:space="preserve">吨）的基础上，每增加</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吨储存能力的，得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分，最高为</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①供应商须同时提供储存冷库为供应商自有（产权归属于供应商）或租赁（租赁期涵盖本项目整个服务期）的证明材料、冷库储存能力（面积）证明材料、冷库所处地理位置证明材料；②如冷库为供应商租赁（租赁期涵盖本项目整个服务期）的，供应商还需提供租赁冷库的产权证明材料；③提供承诺函，承诺所投的冷库储存能力仅用于本项目；未提供或提供不全不得分。</w:t>
            </w:r>
            <w:r/>
          </w:p>
        </w:tc>
      </w:tr>
      <w:tr>
        <w:trPr>
          <w:trHeight w:val="1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冷库温控能力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根据供应商拟为本项目投入的位于苏州地区范围的自有或租赁储存冷库的温控能力进行评定。冷库温度可控范围在零下</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度至零下</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度的得</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分；冷库温度可控范围在零下</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度至零下</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度的得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分；其余情况不得分。</w:t>
              <w:br/>
            </w:r>
            <w:r>
              <w:rPr>
                <w:rFonts w:ascii="SimSun" w:hAnsi="SimSun" w:eastAsia="SimSun" w:cs="SimSun"/>
                <w:b/>
                <w:color w:val="000000"/>
                <w:sz w:val="24"/>
              </w:rPr>
              <w:t xml:space="preserve">注：①如供应商拟投入多个储存冷库的，所有冷库均应达到对应评分标准，如不能同时达到的，以温控能力最差者计入评分。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②供应商须同时提供储存冷库为供应商自有（产权归属于供应商）或租赁（租赁期不得低于三年）的证明材料、冷库所处地理位置证明材料、温控能力证明材料，否则不得分。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③如冷库为供应商租赁（租赁期不得低于三年）的，供应商还需提供租赁冷库的产权证明材料，否则不得分。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④温控能力证明需附冷库实景温度计显示温度照片。</w:t>
            </w:r>
            <w:r/>
          </w:p>
        </w:tc>
      </w:tr>
      <w:tr>
        <w:trPr>
          <w:trHeight w:val="1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无重大疫情事故承诺书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响应单位提供近三年内未发生过重大疫情事故的承诺书的得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分，未提供不得分。</w:t>
            </w:r>
            <w:r/>
          </w:p>
        </w:tc>
      </w:tr>
      <w:tr>
        <w:trPr>
          <w:trHeight w:val="1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日（以合同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协议签订之日起为准）至今实施的类似肉类储备项目的，每有</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分，最高得</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注：需在响应文件中同时提供项目业绩合同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协议证明材料、对应合同部分或全额发票，未提供或提供不全的，对应评分项不得分。</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针对评分标准中评分的每一条，投标人均应提供相关资料并作出相应说明供评委评判，不提供相关资料的视为不具备该项得分的条件。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r/>
      <w:r/>
    </w:p>
    <w:sectPr>
      <w:headerReference w:type="default" r:id="rId9"/>
      <w:headerReference w:type="even" r:id="rId10"/>
      <w:footerReference w:type="default" r:id="rId11"/>
      <w:footerReference w:type="even"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FangSong">
    <w:panose1 w:val="02010609060101010101"/>
  </w:font>
  <w:font w:name="SimHei">
    <w:panose1 w:val="02010609060101010101"/>
  </w:font>
  <w:font w:name="SimSun">
    <w:panose1 w:val="02010600030101010101"/>
  </w:font>
  <w:font w:name="KaiTi">
    <w:panose1 w:val="02010609060101010101"/>
  </w:font>
  <w:font w:name="Symbol">
    <w:panose1 w:val="05050102010706020507"/>
  </w:font>
  <w:font w:name="Wingdings">
    <w:panose1 w:val="05000000000000000000"/>
  </w:font>
  <w:font w:name="仿宋">
    <w:panose1 w:val="02010609060101010101"/>
  </w:font>
  <w:font w:name="Calibri">
    <w:panose1 w:val="020F0502020204030204"/>
  </w:font>
  <w:font w:name="Courier New">
    <w:panose1 w:val="02070309020205020404"/>
  </w:font>
  <w:font w:name="方正仿宋简体">
    <w:panose1 w:val="020B0503020202020204"/>
  </w:font>
  <w:font w:name="Tahoma">
    <w:panose1 w:val="020B060403050404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49</w:t>
    </w:r>
    <w:r>
      <w:rPr>
        <w:b/>
        <w:sz w:val="24"/>
        <w:szCs w:val="24"/>
      </w:rPr>
      <w:fldChar w:fldCharType="end"/>
    </w:r>
    <w:r/>
  </w:p>
  <w:p>
    <w:pPr>
      <w:pStyle w:val="9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Style w:val="967"/>
      </w:rPr>
      <w:framePr w:wrap="around" w:vAnchor="text" w:hAnchor="margin" w:xAlign="center" w:y="1"/>
    </w:pPr>
    <w:r>
      <w:fldChar w:fldCharType="begin"/>
    </w:r>
    <w:r>
      <w:rPr>
        <w:rStyle w:val="967"/>
      </w:rPr>
      <w:instrText xml:space="preserve">PAGE  </w:instrText>
    </w:r>
    <w:r>
      <w:fldChar w:fldCharType="end"/>
    </w:r>
    <w:r>
      <w:rPr>
        <w:rStyle w:val="967"/>
      </w:rPr>
    </w:r>
    <w:r/>
  </w:p>
  <w:p>
    <w:pPr>
      <w:pStyle w:val="9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right="360"/>
      <w:jc w:val="both"/>
      <w:rPr>
        <w:rFonts w:hint="eastAsia"/>
      </w:rPr>
      <w:pBdr>
        <w:bottom w:val="none" w:color="000000" w:sz="0" w:space="0"/>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7"/>
      </w:rPr>
      <w:framePr w:wrap="around" w:vAnchor="text" w:hAnchor="margin" w:xAlign="right" w:y="1"/>
    </w:pPr>
    <w:r>
      <w:fldChar w:fldCharType="begin"/>
    </w:r>
    <w:r>
      <w:rPr>
        <w:rStyle w:val="967"/>
      </w:rPr>
      <w:instrText xml:space="preserve">PAGE  </w:instrText>
    </w:r>
    <w:r>
      <w:fldChar w:fldCharType="end"/>
    </w:r>
    <w:r>
      <w:rPr>
        <w:rStyle w:val="967"/>
      </w:rPr>
    </w:r>
    <w:r/>
  </w:p>
  <w:p>
    <w:pPr>
      <w:pStyle w:val="939"/>
      <w:ind w:right="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80"/>
        <w:ind w:left="0" w:firstLine="0"/>
      </w:pPr>
      <w:rPr>
        <w:rFonts w:ascii="Times New Roman" w:hAnsi="Times New Roman"/>
        <w:b/>
        <w:i w:val="0"/>
        <w:sz w:val="21"/>
      </w:rPr>
    </w:lvl>
    <w:lvl w:ilvl="1">
      <w:start w:val="1"/>
      <w:numFmt w:val="decimal"/>
      <w:isLgl w:val="false"/>
      <w:suff w:val="nothing"/>
      <w:lvlText w:val="%1%2　"/>
      <w:lvlJc w:val="left"/>
      <w:pPr>
        <w:pStyle w:val="880"/>
        <w:ind w:left="360" w:firstLine="0"/>
      </w:pPr>
      <w:rPr>
        <w:rFonts w:hint="eastAsia" w:ascii="黑体" w:hAnsi="Times New Roman" w:eastAsia="黑体"/>
        <w:b w:val="0"/>
        <w:i w:val="0"/>
        <w:sz w:val="21"/>
      </w:rPr>
    </w:lvl>
    <w:lvl w:ilvl="2">
      <w:start w:val="1"/>
      <w:numFmt w:val="decimal"/>
      <w:isLgl w:val="false"/>
      <w:suff w:val="nothing"/>
      <w:lvlText w:val="%1%2.%3　"/>
      <w:lvlJc w:val="left"/>
      <w:pPr>
        <w:pStyle w:val="880"/>
        <w:ind w:left="0" w:firstLine="0"/>
      </w:pPr>
      <w:rPr>
        <w:rFonts w:hint="eastAsia" w:ascii="黑体" w:hAnsi="Times New Roman" w:eastAsia="黑体"/>
        <w:b w:val="0"/>
        <w:i w:val="0"/>
        <w:sz w:val="21"/>
      </w:rPr>
    </w:lvl>
    <w:lvl w:ilvl="3">
      <w:start w:val="1"/>
      <w:numFmt w:val="decimal"/>
      <w:pStyle w:val="973"/>
      <w:isLgl w:val="false"/>
      <w:suff w:val="nothing"/>
      <w:lvlText w:val="%1%2.%3.%4　"/>
      <w:lvlJc w:val="left"/>
      <w:pPr>
        <w:pStyle w:val="880"/>
        <w:ind w:left="540" w:firstLine="0"/>
      </w:pPr>
      <w:rPr>
        <w:rFonts w:hint="eastAsia" w:ascii="黑体" w:hAnsi="Times New Roman" w:eastAsia="黑体"/>
        <w:b w:val="0"/>
        <w:i w:val="0"/>
        <w:sz w:val="21"/>
      </w:rPr>
    </w:lvl>
    <w:lvl w:ilvl="4">
      <w:start w:val="1"/>
      <w:numFmt w:val="decimal"/>
      <w:pStyle w:val="972"/>
      <w:isLgl w:val="false"/>
      <w:suff w:val="nothing"/>
      <w:lvlText w:val="%1%2.%3.%4.%5　"/>
      <w:lvlJc w:val="left"/>
      <w:pPr>
        <w:pStyle w:val="880"/>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880"/>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880"/>
        <w:ind w:left="0" w:firstLine="0"/>
      </w:pPr>
      <w:rPr>
        <w:rFonts w:hint="eastAsia" w:ascii="黑体" w:hAnsi="Times New Roman" w:eastAsia="黑体"/>
        <w:b w:val="0"/>
        <w:i w:val="0"/>
        <w:sz w:val="21"/>
      </w:rPr>
    </w:lvl>
    <w:lvl w:ilvl="7">
      <w:start w:val="1"/>
      <w:numFmt w:val="decimal"/>
      <w:isLgl w:val="false"/>
      <w:suff w:val="tab"/>
      <w:lvlText w:val="%1.%2.%3.%4.%5.%6.%7.%8"/>
      <w:lvlJc w:val="left"/>
      <w:pPr>
        <w:pStyle w:val="880"/>
        <w:ind w:left="3969" w:hanging="1418"/>
        <w:tabs>
          <w:tab w:val="num" w:pos="4351" w:leader="none"/>
        </w:tabs>
      </w:pPr>
      <w:rPr>
        <w:rFonts w:hint="eastAsia"/>
      </w:rPr>
    </w:lvl>
    <w:lvl w:ilvl="8">
      <w:start w:val="1"/>
      <w:numFmt w:val="decimal"/>
      <w:isLgl w:val="false"/>
      <w:suff w:val="tab"/>
      <w:lvlText w:val="%1.%2.%3.%4.%5.%6.%7.%8.%9"/>
      <w:lvlJc w:val="left"/>
      <w:pPr>
        <w:pStyle w:val="880"/>
        <w:ind w:left="4677" w:hanging="1700"/>
        <w:tabs>
          <w:tab w:val="num" w:pos="4777" w:leader="none"/>
        </w:tabs>
      </w:pPr>
      <w:rPr>
        <w:rFonts w:hint="eastAsia"/>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80"/>
    <w:next w:val="880"/>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80"/>
    <w:next w:val="880"/>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80"/>
    <w:next w:val="880"/>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80"/>
    <w:next w:val="880"/>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80"/>
    <w:next w:val="880"/>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80"/>
    <w:next w:val="880"/>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80"/>
    <w:next w:val="880"/>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80"/>
    <w:next w:val="880"/>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80"/>
    <w:next w:val="880"/>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Title"/>
    <w:basedOn w:val="880"/>
    <w:next w:val="880"/>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0"/>
    <w:next w:val="880"/>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0"/>
    <w:next w:val="880"/>
    <w:link w:val="736"/>
    <w:uiPriority w:val="29"/>
    <w:qFormat/>
    <w:pPr>
      <w:ind w:left="720" w:right="720"/>
    </w:pPr>
    <w:rPr>
      <w:i/>
    </w:rPr>
  </w:style>
  <w:style w:type="character" w:styleId="736">
    <w:name w:val="Quote Char"/>
    <w:link w:val="735"/>
    <w:uiPriority w:val="29"/>
    <w:rPr>
      <w:i/>
    </w:rPr>
  </w:style>
  <w:style w:type="paragraph" w:styleId="737">
    <w:name w:val="Intense Quote"/>
    <w:basedOn w:val="880"/>
    <w:next w:val="880"/>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0"/>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0"/>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0"/>
    <w:next w:val="880"/>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0"/>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0"/>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next w:val="893"/>
    <w:link w:val="880"/>
    <w:qFormat/>
    <w:pPr>
      <w:jc w:val="both"/>
      <w:widowControl w:val="off"/>
    </w:pPr>
    <w:rPr>
      <w:sz w:val="21"/>
      <w:lang w:val="en-US" w:eastAsia="zh-CN" w:bidi="ar-SA"/>
    </w:rPr>
  </w:style>
  <w:style w:type="paragraph" w:styleId="881">
    <w:name w:val="标题 1"/>
    <w:basedOn w:val="880"/>
    <w:next w:val="895"/>
    <w:link w:val="880"/>
    <w:qFormat/>
    <w:pPr>
      <w:jc w:val="center"/>
      <w:keepLines/>
      <w:keepNext/>
      <w:tabs>
        <w:tab w:val="left" w:pos="1134" w:leader="none"/>
      </w:tabs>
      <w:outlineLvl w:val="0"/>
    </w:pPr>
    <w:rPr>
      <w:rFonts w:ascii="宋体" w:hAnsi="宋体"/>
      <w:b/>
    </w:rPr>
  </w:style>
  <w:style w:type="paragraph" w:styleId="882">
    <w:name w:val="标题 2"/>
    <w:basedOn w:val="880"/>
    <w:next w:val="880"/>
    <w:link w:val="896"/>
    <w:qFormat/>
    <w:pPr>
      <w:keepLines/>
      <w:keepNext/>
      <w:spacing w:before="260" w:after="260" w:line="413" w:lineRule="auto"/>
      <w:outlineLvl w:val="1"/>
    </w:pPr>
    <w:rPr>
      <w:rFonts w:ascii="Arial" w:hAnsi="Arial" w:eastAsia="黑体"/>
      <w:b/>
      <w:sz w:val="32"/>
    </w:rPr>
  </w:style>
  <w:style w:type="paragraph" w:styleId="883">
    <w:name w:val="标题 3"/>
    <w:basedOn w:val="880"/>
    <w:next w:val="895"/>
    <w:link w:val="897"/>
    <w:qFormat/>
    <w:pPr>
      <w:ind w:left="420" w:hanging="420"/>
      <w:keepLines/>
      <w:keepNext/>
      <w:spacing w:before="120" w:after="120" w:line="360" w:lineRule="auto"/>
      <w:tabs>
        <w:tab w:val="left" w:pos="567" w:leader="none"/>
        <w:tab w:val="left" w:pos="1080" w:leader="none"/>
      </w:tabs>
      <w:outlineLvl w:val="2"/>
    </w:pPr>
    <w:rPr>
      <w:rFonts w:ascii="宋体" w:hAnsi="宋体"/>
      <w:b/>
      <w:sz w:val="24"/>
    </w:rPr>
  </w:style>
  <w:style w:type="paragraph" w:styleId="884">
    <w:name w:val="标题 4"/>
    <w:basedOn w:val="880"/>
    <w:next w:val="895"/>
    <w:link w:val="898"/>
    <w:qFormat/>
    <w:pPr>
      <w:keepLines/>
      <w:keepNext/>
      <w:spacing w:before="120" w:after="120" w:line="360" w:lineRule="auto"/>
      <w:outlineLvl w:val="3"/>
    </w:pPr>
    <w:rPr>
      <w:rFonts w:ascii="宋体" w:hAnsi="宋体"/>
      <w:b/>
      <w:sz w:val="24"/>
    </w:rPr>
  </w:style>
  <w:style w:type="paragraph" w:styleId="885">
    <w:name w:val="标题 5"/>
    <w:basedOn w:val="880"/>
    <w:next w:val="880"/>
    <w:link w:val="899"/>
    <w:qFormat/>
    <w:pPr>
      <w:keepLines/>
      <w:keepNext/>
      <w:spacing w:before="280" w:after="290" w:line="376" w:lineRule="atLeast"/>
      <w:outlineLvl w:val="4"/>
    </w:pPr>
    <w:rPr>
      <w:b/>
      <w:sz w:val="28"/>
    </w:rPr>
  </w:style>
  <w:style w:type="paragraph" w:styleId="886">
    <w:name w:val="标题 6"/>
    <w:basedOn w:val="880"/>
    <w:next w:val="880"/>
    <w:link w:val="900"/>
    <w:qFormat/>
    <w:pPr>
      <w:keepLines/>
      <w:keepNext/>
      <w:spacing w:before="240" w:after="64" w:line="320" w:lineRule="atLeast"/>
      <w:outlineLvl w:val="5"/>
    </w:pPr>
    <w:rPr>
      <w:rFonts w:ascii="Arial" w:hAnsi="Arial" w:eastAsia="黑体"/>
      <w:b/>
      <w:sz w:val="24"/>
    </w:rPr>
  </w:style>
  <w:style w:type="paragraph" w:styleId="887">
    <w:name w:val="标题 7"/>
    <w:basedOn w:val="880"/>
    <w:next w:val="880"/>
    <w:link w:val="901"/>
    <w:qFormat/>
    <w:pPr>
      <w:keepLines/>
      <w:keepNext/>
      <w:spacing w:before="240" w:after="64" w:line="320" w:lineRule="atLeast"/>
      <w:outlineLvl w:val="6"/>
    </w:pPr>
    <w:rPr>
      <w:b/>
      <w:sz w:val="24"/>
    </w:rPr>
  </w:style>
  <w:style w:type="paragraph" w:styleId="888">
    <w:name w:val="标题 8"/>
    <w:basedOn w:val="880"/>
    <w:next w:val="880"/>
    <w:link w:val="902"/>
    <w:qFormat/>
    <w:pPr>
      <w:keepLines/>
      <w:keepNext/>
      <w:spacing w:before="240" w:after="64" w:line="320" w:lineRule="atLeast"/>
      <w:outlineLvl w:val="7"/>
    </w:pPr>
    <w:rPr>
      <w:rFonts w:ascii="Arial" w:hAnsi="Arial" w:eastAsia="黑体"/>
      <w:sz w:val="24"/>
    </w:rPr>
  </w:style>
  <w:style w:type="paragraph" w:styleId="889">
    <w:name w:val="标题 9"/>
    <w:basedOn w:val="880"/>
    <w:next w:val="880"/>
    <w:link w:val="903"/>
    <w:qFormat/>
    <w:pPr>
      <w:keepLines/>
      <w:keepNext/>
      <w:spacing w:before="240" w:after="64" w:line="320" w:lineRule="atLeast"/>
      <w:outlineLvl w:val="8"/>
    </w:pPr>
    <w:rPr>
      <w:rFonts w:ascii="Arial" w:hAnsi="Arial" w:eastAsia="黑体"/>
    </w:rPr>
  </w:style>
  <w:style w:type="character" w:styleId="890">
    <w:name w:val="默认段落字体"/>
    <w:next w:val="890"/>
    <w:link w:val="880"/>
    <w:semiHidden/>
  </w:style>
  <w:style w:type="table" w:styleId="891">
    <w:name w:val="普通表格"/>
    <w:next w:val="891"/>
    <w:link w:val="880"/>
    <w:semiHidden/>
    <w:tblPr/>
  </w:style>
  <w:style w:type="numbering" w:styleId="892">
    <w:name w:val="无列表"/>
    <w:next w:val="892"/>
    <w:link w:val="880"/>
    <w:uiPriority w:val="99"/>
    <w:semiHidden/>
    <w:unhideWhenUsed/>
  </w:style>
  <w:style w:type="paragraph" w:styleId="893">
    <w:name w:val="文档结构图"/>
    <w:basedOn w:val="880"/>
    <w:next w:val="893"/>
    <w:link w:val="894"/>
    <w:pPr>
      <w:shd w:val="clear" w:color="auto" w:fill="000080"/>
    </w:pPr>
  </w:style>
  <w:style w:type="character" w:styleId="894">
    <w:name w:val="文档结构图 字符"/>
    <w:next w:val="894"/>
    <w:link w:val="893"/>
    <w:rPr>
      <w:rFonts w:eastAsia="宋体"/>
      <w:sz w:val="21"/>
      <w:lang w:val="en-US" w:eastAsia="zh-CN" w:bidi="ar-SA"/>
    </w:rPr>
  </w:style>
  <w:style w:type="paragraph" w:styleId="895">
    <w:name w:val="正文文本 Char Char"/>
    <w:basedOn w:val="880"/>
    <w:next w:val="895"/>
    <w:link w:val="880"/>
    <w:pPr>
      <w:jc w:val="center"/>
    </w:pPr>
  </w:style>
  <w:style w:type="character" w:styleId="896">
    <w:name w:val="标题 2 字符"/>
    <w:next w:val="896"/>
    <w:link w:val="882"/>
    <w:rPr>
      <w:rFonts w:ascii="Arial" w:hAnsi="Arial" w:eastAsia="黑体"/>
      <w:b/>
      <w:sz w:val="32"/>
      <w:lang w:val="en-US" w:eastAsia="zh-CN" w:bidi="ar-SA"/>
    </w:rPr>
  </w:style>
  <w:style w:type="character" w:styleId="897">
    <w:name w:val="标题 3 字符"/>
    <w:next w:val="897"/>
    <w:link w:val="883"/>
    <w:rPr>
      <w:rFonts w:ascii="宋体" w:hAnsi="宋体" w:eastAsia="宋体"/>
      <w:b/>
      <w:sz w:val="24"/>
      <w:lang w:val="en-US" w:eastAsia="zh-CN" w:bidi="ar-SA"/>
    </w:rPr>
  </w:style>
  <w:style w:type="character" w:styleId="898">
    <w:name w:val="标题 4 字符"/>
    <w:next w:val="898"/>
    <w:link w:val="884"/>
    <w:rPr>
      <w:rFonts w:ascii="宋体" w:hAnsi="宋体" w:eastAsia="宋体"/>
      <w:b/>
      <w:sz w:val="24"/>
      <w:lang w:val="en-US" w:eastAsia="zh-CN" w:bidi="ar-SA"/>
    </w:rPr>
  </w:style>
  <w:style w:type="character" w:styleId="899">
    <w:name w:val="标题 5 字符"/>
    <w:next w:val="899"/>
    <w:link w:val="885"/>
    <w:rPr>
      <w:rFonts w:eastAsia="宋体"/>
      <w:b/>
      <w:sz w:val="28"/>
      <w:lang w:val="en-US" w:eastAsia="zh-CN" w:bidi="ar-SA"/>
    </w:rPr>
  </w:style>
  <w:style w:type="character" w:styleId="900">
    <w:name w:val="标题 6 字符"/>
    <w:next w:val="900"/>
    <w:link w:val="886"/>
    <w:rPr>
      <w:rFonts w:ascii="Arial" w:hAnsi="Arial" w:eastAsia="黑体"/>
      <w:b/>
      <w:sz w:val="24"/>
      <w:lang w:val="en-US" w:eastAsia="zh-CN" w:bidi="ar-SA"/>
    </w:rPr>
  </w:style>
  <w:style w:type="character" w:styleId="901">
    <w:name w:val="标题 7 字符"/>
    <w:next w:val="901"/>
    <w:link w:val="887"/>
    <w:rPr>
      <w:rFonts w:eastAsia="宋体"/>
      <w:b/>
      <w:sz w:val="24"/>
      <w:lang w:val="en-US" w:eastAsia="zh-CN" w:bidi="ar-SA"/>
    </w:rPr>
  </w:style>
  <w:style w:type="character" w:styleId="902">
    <w:name w:val="标题 8 字符"/>
    <w:next w:val="902"/>
    <w:link w:val="888"/>
    <w:rPr>
      <w:rFonts w:ascii="Arial" w:hAnsi="Arial" w:eastAsia="黑体"/>
      <w:sz w:val="24"/>
      <w:lang w:val="en-US" w:eastAsia="zh-CN" w:bidi="ar-SA"/>
    </w:rPr>
  </w:style>
  <w:style w:type="character" w:styleId="903">
    <w:name w:val="标题 9 字符"/>
    <w:next w:val="903"/>
    <w:link w:val="889"/>
    <w:rPr>
      <w:rFonts w:ascii="Arial" w:hAnsi="Arial" w:eastAsia="黑体"/>
      <w:sz w:val="21"/>
      <w:lang w:val="en-US" w:eastAsia="zh-CN" w:bidi="ar-SA"/>
    </w:rPr>
  </w:style>
  <w:style w:type="paragraph" w:styleId="904">
    <w:name w:val="toc 7"/>
    <w:basedOn w:val="880"/>
    <w:next w:val="880"/>
    <w:link w:val="880"/>
    <w:pPr>
      <w:ind w:left="2520"/>
    </w:pPr>
    <w:rPr>
      <w:rFonts w:eastAsia="楷体_GB2312"/>
      <w:sz w:val="26"/>
    </w:rPr>
  </w:style>
  <w:style w:type="paragraph" w:styleId="905">
    <w:name w:val="索引 8"/>
    <w:basedOn w:val="880"/>
    <w:next w:val="880"/>
    <w:link w:val="880"/>
    <w:pPr>
      <w:ind w:left="2940"/>
    </w:pPr>
    <w:rPr>
      <w:rFonts w:eastAsia="楷体_GB2312"/>
      <w:sz w:val="26"/>
    </w:rPr>
  </w:style>
  <w:style w:type="paragraph" w:styleId="906">
    <w:name w:val="列表编号"/>
    <w:basedOn w:val="880"/>
    <w:next w:val="906"/>
    <w:link w:val="880"/>
    <w:pPr>
      <w:ind w:left="1125" w:hanging="555"/>
      <w:tabs>
        <w:tab w:val="left" w:pos="1125" w:leader="none"/>
      </w:tabs>
    </w:pPr>
    <w:rPr>
      <w:szCs w:val="24"/>
    </w:rPr>
  </w:style>
  <w:style w:type="paragraph" w:styleId="907">
    <w:name w:val="正文缩进"/>
    <w:basedOn w:val="880"/>
    <w:next w:val="907"/>
    <w:link w:val="908"/>
    <w:qFormat/>
    <w:pPr>
      <w:ind w:firstLine="420"/>
    </w:pPr>
  </w:style>
  <w:style w:type="character" w:styleId="908">
    <w:name w:val="正文缩进 字符"/>
    <w:next w:val="908"/>
    <w:link w:val="907"/>
    <w:qFormat/>
    <w:rPr>
      <w:rFonts w:eastAsia="宋体"/>
      <w:sz w:val="21"/>
      <w:lang w:val="en-US" w:eastAsia="zh-CN" w:bidi="ar-SA"/>
    </w:rPr>
  </w:style>
  <w:style w:type="paragraph" w:styleId="909">
    <w:name w:val="索引 5"/>
    <w:basedOn w:val="880"/>
    <w:next w:val="880"/>
    <w:link w:val="880"/>
    <w:pPr>
      <w:ind w:left="1680"/>
    </w:pPr>
    <w:rPr>
      <w:rFonts w:eastAsia="楷体_GB2312"/>
      <w:sz w:val="26"/>
    </w:rPr>
  </w:style>
  <w:style w:type="paragraph" w:styleId="910">
    <w:name w:val="批注文字"/>
    <w:basedOn w:val="880"/>
    <w:next w:val="910"/>
    <w:link w:val="911"/>
    <w:semiHidden/>
    <w:pPr>
      <w:jc w:val="left"/>
    </w:pPr>
  </w:style>
  <w:style w:type="character" w:styleId="911">
    <w:name w:val="批注文字 字符"/>
    <w:next w:val="911"/>
    <w:link w:val="910"/>
    <w:rPr>
      <w:rFonts w:eastAsia="宋体"/>
      <w:sz w:val="21"/>
      <w:lang w:val="en-US" w:eastAsia="zh-CN" w:bidi="ar-SA"/>
    </w:rPr>
  </w:style>
  <w:style w:type="paragraph" w:styleId="912">
    <w:name w:val="索引 6"/>
    <w:basedOn w:val="880"/>
    <w:next w:val="880"/>
    <w:link w:val="880"/>
    <w:pPr>
      <w:ind w:left="2100"/>
    </w:pPr>
    <w:rPr>
      <w:rFonts w:eastAsia="楷体_GB2312"/>
      <w:sz w:val="26"/>
    </w:rPr>
  </w:style>
  <w:style w:type="paragraph" w:styleId="913">
    <w:name w:val="正文文本 3"/>
    <w:basedOn w:val="880"/>
    <w:next w:val="913"/>
    <w:link w:val="914"/>
    <w:pPr>
      <w:spacing w:after="120"/>
    </w:pPr>
    <w:rPr>
      <w:sz w:val="16"/>
    </w:rPr>
  </w:style>
  <w:style w:type="character" w:styleId="914">
    <w:name w:val="正文文本 3 字符"/>
    <w:next w:val="914"/>
    <w:link w:val="913"/>
    <w:rPr>
      <w:rFonts w:eastAsia="宋体"/>
      <w:sz w:val="16"/>
      <w:lang w:val="en-US" w:eastAsia="zh-CN" w:bidi="ar-SA"/>
    </w:rPr>
  </w:style>
  <w:style w:type="paragraph" w:styleId="915">
    <w:name w:val="正文文本"/>
    <w:basedOn w:val="880"/>
    <w:next w:val="917"/>
    <w:link w:val="916"/>
    <w:pPr>
      <w:spacing w:after="120"/>
    </w:pPr>
  </w:style>
  <w:style w:type="character" w:styleId="916">
    <w:name w:val="正文文本 字符"/>
    <w:next w:val="916"/>
    <w:link w:val="915"/>
    <w:rPr>
      <w:rFonts w:eastAsia="宋体"/>
      <w:sz w:val="21"/>
      <w:lang w:val="en-US" w:eastAsia="zh-CN" w:bidi="ar-SA"/>
    </w:rPr>
  </w:style>
  <w:style w:type="paragraph" w:styleId="917">
    <w:name w:val="正文文本首行缩进"/>
    <w:basedOn w:val="915"/>
    <w:next w:val="919"/>
    <w:link w:val="918"/>
    <w:pPr>
      <w:ind w:firstLine="420"/>
      <w:jc w:val="both"/>
      <w:spacing w:after="120"/>
    </w:pPr>
    <w:rPr>
      <w:rFonts w:hint="eastAsia" w:ascii="楷体_GB2312" w:eastAsia="楷体_GB2312"/>
      <w:sz w:val="28"/>
    </w:rPr>
  </w:style>
  <w:style w:type="character" w:styleId="918">
    <w:name w:val="正文文本首行缩进 字符"/>
    <w:next w:val="918"/>
    <w:link w:val="917"/>
    <w:rPr>
      <w:rFonts w:hint="eastAsia" w:ascii="楷体_GB2312" w:eastAsia="楷体_GB2312"/>
      <w:sz w:val="28"/>
      <w:lang w:val="en-US" w:eastAsia="zh-CN" w:bidi="ar-SA"/>
    </w:rPr>
  </w:style>
  <w:style w:type="paragraph" w:styleId="919">
    <w:name w:val="正文文本首行缩进 2"/>
    <w:basedOn w:val="920"/>
    <w:next w:val="917"/>
    <w:link w:val="880"/>
    <w:qFormat/>
    <w:pPr>
      <w:ind w:left="420" w:firstLine="420"/>
      <w:spacing w:after="120" w:line="240" w:lineRule="auto"/>
    </w:pPr>
    <w:rPr>
      <w:rFonts w:ascii="Times New Roman" w:hAnsi="Times New Roman" w:eastAsia="宋体"/>
      <w:sz w:val="21"/>
    </w:rPr>
  </w:style>
  <w:style w:type="paragraph" w:styleId="920">
    <w:name w:val="正文文本缩进"/>
    <w:basedOn w:val="880"/>
    <w:next w:val="880"/>
    <w:link w:val="921"/>
    <w:pPr>
      <w:ind w:left="570"/>
      <w:spacing w:line="520" w:lineRule="atLeast"/>
    </w:pPr>
    <w:rPr>
      <w:rFonts w:ascii="方正仿宋简体" w:hAnsi="创艺简仿宋" w:eastAsia="方正仿宋简体"/>
      <w:sz w:val="24"/>
    </w:rPr>
  </w:style>
  <w:style w:type="character" w:styleId="921">
    <w:name w:val="正文文本缩进 字符"/>
    <w:next w:val="921"/>
    <w:link w:val="920"/>
    <w:rPr>
      <w:rFonts w:ascii="方正仿宋简体" w:hAnsi="创艺简仿宋" w:eastAsia="方正仿宋简体"/>
      <w:sz w:val="24"/>
      <w:lang w:val="en-US" w:eastAsia="zh-CN" w:bidi="ar-SA"/>
    </w:rPr>
  </w:style>
  <w:style w:type="paragraph" w:styleId="922">
    <w:name w:val="文本块"/>
    <w:basedOn w:val="880"/>
    <w:next w:val="922"/>
    <w:link w:val="880"/>
    <w:pPr>
      <w:ind w:left="630" w:right="-609" w:firstLine="420"/>
      <w:spacing w:line="360" w:lineRule="auto"/>
    </w:pPr>
    <w:rPr>
      <w:rFonts w:hint="eastAsia" w:ascii="仿宋_GB2312" w:eastAsia="仿宋_GB2312"/>
    </w:rPr>
  </w:style>
  <w:style w:type="paragraph" w:styleId="923">
    <w:name w:val="索引 4"/>
    <w:basedOn w:val="880"/>
    <w:next w:val="880"/>
    <w:link w:val="880"/>
    <w:pPr>
      <w:ind w:left="1260"/>
    </w:pPr>
    <w:rPr>
      <w:rFonts w:eastAsia="楷体_GB2312"/>
      <w:sz w:val="26"/>
    </w:rPr>
  </w:style>
  <w:style w:type="paragraph" w:styleId="924">
    <w:name w:val="toc 5"/>
    <w:basedOn w:val="880"/>
    <w:next w:val="880"/>
    <w:link w:val="880"/>
    <w:pPr>
      <w:ind w:left="1680"/>
    </w:pPr>
    <w:rPr>
      <w:rFonts w:eastAsia="楷体_GB2312"/>
      <w:sz w:val="26"/>
    </w:rPr>
  </w:style>
  <w:style w:type="paragraph" w:styleId="925">
    <w:name w:val="toc 3"/>
    <w:basedOn w:val="880"/>
    <w:next w:val="880"/>
    <w:link w:val="880"/>
    <w:pPr>
      <w:ind w:left="840"/>
    </w:pPr>
    <w:rPr>
      <w:rFonts w:eastAsia="楷体_GB2312"/>
      <w:sz w:val="26"/>
    </w:rPr>
  </w:style>
  <w:style w:type="paragraph" w:styleId="926">
    <w:name w:val="纯文本"/>
    <w:basedOn w:val="880"/>
    <w:next w:val="926"/>
    <w:link w:val="927"/>
    <w:rPr>
      <w:rFonts w:ascii="宋体" w:hAnsi="Courier New" w:eastAsia="楷体_GB2312"/>
      <w:sz w:val="28"/>
    </w:rPr>
  </w:style>
  <w:style w:type="character" w:styleId="927">
    <w:name w:val="纯文本 字符"/>
    <w:next w:val="927"/>
    <w:link w:val="926"/>
    <w:rPr>
      <w:rFonts w:ascii="宋体" w:hAnsi="Courier New" w:eastAsia="楷体_GB2312"/>
      <w:sz w:val="28"/>
      <w:lang w:val="en-US" w:eastAsia="zh-CN" w:bidi="ar-SA"/>
    </w:rPr>
  </w:style>
  <w:style w:type="paragraph" w:styleId="928">
    <w:name w:val="toc 8"/>
    <w:basedOn w:val="880"/>
    <w:next w:val="880"/>
    <w:link w:val="880"/>
    <w:pPr>
      <w:ind w:left="2940"/>
    </w:pPr>
    <w:rPr>
      <w:rFonts w:eastAsia="楷体_GB2312"/>
      <w:sz w:val="26"/>
    </w:rPr>
  </w:style>
  <w:style w:type="paragraph" w:styleId="929">
    <w:name w:val="索引 3"/>
    <w:basedOn w:val="880"/>
    <w:next w:val="880"/>
    <w:link w:val="880"/>
    <w:pPr>
      <w:ind w:left="840"/>
    </w:pPr>
    <w:rPr>
      <w:rFonts w:eastAsia="楷体_GB2312"/>
      <w:sz w:val="26"/>
    </w:rPr>
  </w:style>
  <w:style w:type="paragraph" w:styleId="930">
    <w:name w:val="日期"/>
    <w:basedOn w:val="880"/>
    <w:next w:val="880"/>
    <w:link w:val="931"/>
    <w:rPr>
      <w:rFonts w:ascii="黑体"/>
      <w:position w:val="6"/>
    </w:rPr>
  </w:style>
  <w:style w:type="character" w:styleId="931">
    <w:name w:val="日期 字符"/>
    <w:next w:val="931"/>
    <w:link w:val="930"/>
    <w:rPr>
      <w:rFonts w:ascii="黑体" w:eastAsia="宋体"/>
      <w:position w:val="6"/>
      <w:sz w:val="21"/>
      <w:lang w:val="en-US" w:eastAsia="zh-CN" w:bidi="ar-SA"/>
    </w:rPr>
  </w:style>
  <w:style w:type="paragraph" w:styleId="932">
    <w:name w:val="正文文本缩进 2"/>
    <w:basedOn w:val="880"/>
    <w:next w:val="932"/>
    <w:link w:val="933"/>
    <w:pPr>
      <w:ind w:firstLine="570"/>
      <w:spacing w:line="520" w:lineRule="atLeast"/>
    </w:pPr>
    <w:rPr>
      <w:rFonts w:ascii="方正仿宋简体" w:hAnsi="创艺简仿宋" w:eastAsia="方正仿宋简体"/>
      <w:sz w:val="24"/>
    </w:rPr>
  </w:style>
  <w:style w:type="character" w:styleId="933">
    <w:name w:val="正文文本缩进 2 字符"/>
    <w:next w:val="933"/>
    <w:link w:val="932"/>
    <w:rPr>
      <w:rFonts w:ascii="方正仿宋简体" w:hAnsi="创艺简仿宋" w:eastAsia="方正仿宋简体"/>
      <w:sz w:val="24"/>
      <w:lang w:val="en-US" w:eastAsia="zh-CN" w:bidi="ar-SA"/>
    </w:rPr>
  </w:style>
  <w:style w:type="paragraph" w:styleId="934">
    <w:name w:val="批注框文本"/>
    <w:basedOn w:val="880"/>
    <w:next w:val="934"/>
    <w:link w:val="935"/>
    <w:uiPriority w:val="99"/>
    <w:qFormat/>
    <w:rPr>
      <w:sz w:val="18"/>
    </w:rPr>
  </w:style>
  <w:style w:type="character" w:styleId="935">
    <w:name w:val="批注框文本 字符"/>
    <w:next w:val="935"/>
    <w:link w:val="934"/>
    <w:uiPriority w:val="99"/>
    <w:rPr>
      <w:sz w:val="18"/>
      <w:lang w:bidi="ar-SA"/>
    </w:rPr>
  </w:style>
  <w:style w:type="paragraph" w:styleId="936">
    <w:name w:val="页脚"/>
    <w:basedOn w:val="880"/>
    <w:next w:val="936"/>
    <w:link w:val="937"/>
    <w:uiPriority w:val="99"/>
    <w:pPr>
      <w:jc w:val="left"/>
      <w:tabs>
        <w:tab w:val="center" w:pos="4153" w:leader="none"/>
        <w:tab w:val="right" w:pos="8306" w:leader="none"/>
      </w:tabs>
    </w:pPr>
    <w:rPr>
      <w:sz w:val="18"/>
    </w:rPr>
  </w:style>
  <w:style w:type="character" w:styleId="937">
    <w:name w:val="页脚 字符"/>
    <w:next w:val="937"/>
    <w:link w:val="936"/>
    <w:uiPriority w:val="99"/>
    <w:rPr>
      <w:rFonts w:eastAsia="宋体"/>
      <w:sz w:val="18"/>
      <w:lang w:val="en-US" w:eastAsia="zh-CN" w:bidi="ar-SA"/>
    </w:rPr>
  </w:style>
  <w:style w:type="paragraph" w:styleId="938">
    <w:name w:val="寄信人地址"/>
    <w:basedOn w:val="880"/>
    <w:next w:val="938"/>
    <w:link w:val="880"/>
    <w:qFormat/>
    <w:rPr>
      <w:rFonts w:ascii="Arial" w:hAnsi="Arial"/>
    </w:rPr>
  </w:style>
  <w:style w:type="paragraph" w:styleId="939">
    <w:name w:val="页眉"/>
    <w:basedOn w:val="880"/>
    <w:next w:val="939"/>
    <w:link w:val="940"/>
    <w:pPr>
      <w:jc w:val="center"/>
      <w:tabs>
        <w:tab w:val="center" w:pos="4153" w:leader="none"/>
        <w:tab w:val="right" w:pos="8306" w:leader="none"/>
      </w:tabs>
      <w:pBdr>
        <w:bottom w:val="single" w:color="000000" w:sz="6" w:space="1"/>
      </w:pBdr>
    </w:pPr>
    <w:rPr>
      <w:sz w:val="18"/>
    </w:rPr>
  </w:style>
  <w:style w:type="character" w:styleId="940">
    <w:name w:val="页眉 字符"/>
    <w:next w:val="940"/>
    <w:link w:val="939"/>
    <w:rPr>
      <w:rFonts w:eastAsia="宋体"/>
      <w:sz w:val="18"/>
      <w:lang w:val="en-US" w:eastAsia="zh-CN" w:bidi="ar-SA"/>
    </w:rPr>
  </w:style>
  <w:style w:type="paragraph" w:styleId="941">
    <w:name w:val="toc 1"/>
    <w:basedOn w:val="880"/>
    <w:next w:val="880"/>
    <w:link w:val="880"/>
    <w:pPr>
      <w:ind w:left="480"/>
      <w:jc w:val="left"/>
      <w:spacing w:line="360" w:lineRule="auto"/>
      <w:tabs>
        <w:tab w:val="right" w:pos="9022" w:leader="dot"/>
      </w:tabs>
    </w:pPr>
    <w:rPr>
      <w:rFonts w:eastAsia="楷体_GB2312"/>
      <w:b/>
      <w:sz w:val="32"/>
      <w:szCs w:val="32"/>
    </w:rPr>
  </w:style>
  <w:style w:type="paragraph" w:styleId="942">
    <w:name w:val="toc 4"/>
    <w:basedOn w:val="880"/>
    <w:next w:val="880"/>
    <w:link w:val="880"/>
    <w:pPr>
      <w:ind w:left="1260"/>
    </w:pPr>
    <w:rPr>
      <w:rFonts w:eastAsia="楷体_GB2312"/>
      <w:sz w:val="26"/>
    </w:rPr>
  </w:style>
  <w:style w:type="paragraph" w:styleId="943">
    <w:name w:val="索引标题"/>
    <w:basedOn w:val="880"/>
    <w:next w:val="944"/>
    <w:link w:val="880"/>
    <w:rPr>
      <w:rFonts w:eastAsia="楷体_GB2312"/>
      <w:sz w:val="26"/>
    </w:rPr>
  </w:style>
  <w:style w:type="paragraph" w:styleId="944">
    <w:name w:val="索引 1"/>
    <w:basedOn w:val="880"/>
    <w:next w:val="880"/>
    <w:link w:val="880"/>
    <w:rPr>
      <w:rFonts w:eastAsia="楷体_GB2312"/>
      <w:sz w:val="26"/>
    </w:rPr>
  </w:style>
  <w:style w:type="paragraph" w:styleId="945">
    <w:name w:val="脚注文本"/>
    <w:basedOn w:val="880"/>
    <w:next w:val="945"/>
    <w:link w:val="946"/>
    <w:pPr>
      <w:jc w:val="left"/>
    </w:pPr>
    <w:rPr>
      <w:rFonts w:eastAsia="楷体_GB2312"/>
      <w:sz w:val="18"/>
    </w:rPr>
  </w:style>
  <w:style w:type="character" w:styleId="946">
    <w:name w:val="脚注文本 字符"/>
    <w:next w:val="946"/>
    <w:link w:val="945"/>
    <w:rPr>
      <w:rFonts w:eastAsia="楷体_GB2312"/>
      <w:sz w:val="18"/>
    </w:rPr>
  </w:style>
  <w:style w:type="paragraph" w:styleId="947">
    <w:name w:val="toc 6"/>
    <w:basedOn w:val="880"/>
    <w:next w:val="880"/>
    <w:link w:val="880"/>
    <w:pPr>
      <w:ind w:left="2100"/>
    </w:pPr>
    <w:rPr>
      <w:rFonts w:eastAsia="楷体_GB2312"/>
      <w:sz w:val="26"/>
    </w:rPr>
  </w:style>
  <w:style w:type="paragraph" w:styleId="948">
    <w:name w:val="正文文本缩进 3"/>
    <w:basedOn w:val="880"/>
    <w:next w:val="948"/>
    <w:link w:val="949"/>
    <w:pPr>
      <w:ind w:left="420"/>
      <w:spacing w:after="120"/>
    </w:pPr>
    <w:rPr>
      <w:sz w:val="16"/>
    </w:rPr>
  </w:style>
  <w:style w:type="character" w:styleId="949">
    <w:name w:val="正文文本缩进 3 字符"/>
    <w:next w:val="949"/>
    <w:link w:val="948"/>
    <w:rPr>
      <w:sz w:val="16"/>
      <w:lang w:bidi="ar-SA"/>
    </w:rPr>
  </w:style>
  <w:style w:type="paragraph" w:styleId="950">
    <w:name w:val="索引 7"/>
    <w:basedOn w:val="880"/>
    <w:next w:val="880"/>
    <w:link w:val="880"/>
    <w:pPr>
      <w:ind w:left="2520"/>
    </w:pPr>
    <w:rPr>
      <w:rFonts w:eastAsia="楷体_GB2312"/>
      <w:sz w:val="26"/>
    </w:rPr>
  </w:style>
  <w:style w:type="paragraph" w:styleId="951">
    <w:name w:val="索引 9"/>
    <w:basedOn w:val="880"/>
    <w:next w:val="880"/>
    <w:link w:val="880"/>
    <w:pPr>
      <w:ind w:left="3360"/>
    </w:pPr>
    <w:rPr>
      <w:rFonts w:eastAsia="楷体_GB2312"/>
      <w:sz w:val="26"/>
    </w:rPr>
  </w:style>
  <w:style w:type="paragraph" w:styleId="952">
    <w:name w:val="图表目录"/>
    <w:basedOn w:val="880"/>
    <w:next w:val="880"/>
    <w:link w:val="880"/>
    <w:pPr>
      <w:ind w:left="420" w:hanging="420"/>
      <w:jc w:val="left"/>
    </w:pPr>
    <w:rPr>
      <w:rFonts w:eastAsia="楷体_GB2312"/>
      <w:smallCaps/>
      <w:sz w:val="24"/>
    </w:rPr>
  </w:style>
  <w:style w:type="paragraph" w:styleId="953">
    <w:name w:val="toc 2"/>
    <w:basedOn w:val="880"/>
    <w:next w:val="880"/>
    <w:link w:val="880"/>
    <w:pPr>
      <w:ind w:left="420"/>
    </w:pPr>
    <w:rPr>
      <w:rFonts w:eastAsia="楷体_GB2312"/>
      <w:sz w:val="26"/>
    </w:rPr>
  </w:style>
  <w:style w:type="paragraph" w:styleId="954">
    <w:name w:val="toc 9"/>
    <w:basedOn w:val="880"/>
    <w:next w:val="880"/>
    <w:link w:val="880"/>
    <w:pPr>
      <w:ind w:left="3360"/>
    </w:pPr>
    <w:rPr>
      <w:rFonts w:eastAsia="楷体_GB2312"/>
      <w:sz w:val="26"/>
    </w:rPr>
  </w:style>
  <w:style w:type="paragraph" w:styleId="955">
    <w:name w:val="正文文本 2"/>
    <w:basedOn w:val="880"/>
    <w:next w:val="955"/>
    <w:link w:val="956"/>
    <w:pPr>
      <w:spacing w:after="120" w:line="480" w:lineRule="auto"/>
    </w:pPr>
    <w:rPr>
      <w:rFonts w:eastAsia="楷体_GB2312"/>
      <w:sz w:val="26"/>
    </w:rPr>
  </w:style>
  <w:style w:type="character" w:styleId="956">
    <w:name w:val="正文文本 2 字符"/>
    <w:next w:val="956"/>
    <w:link w:val="955"/>
    <w:rPr>
      <w:rFonts w:eastAsia="楷体_GB2312"/>
      <w:sz w:val="26"/>
    </w:rPr>
  </w:style>
  <w:style w:type="paragraph" w:styleId="957">
    <w:name w:val="HTML 预设格式"/>
    <w:basedOn w:val="880"/>
    <w:next w:val="957"/>
    <w:link w:val="95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58">
    <w:name w:val="HTML 预设格式 字符"/>
    <w:next w:val="958"/>
    <w:link w:val="957"/>
    <w:rPr>
      <w:rFonts w:ascii="黑体" w:hAnsi="Courier New" w:eastAsia="黑体"/>
      <w:lang w:val="en-US" w:eastAsia="zh-CN" w:bidi="ar-SA"/>
    </w:rPr>
  </w:style>
  <w:style w:type="paragraph" w:styleId="959">
    <w:name w:val="普通(网站)"/>
    <w:basedOn w:val="880"/>
    <w:next w:val="959"/>
    <w:link w:val="880"/>
    <w:pPr>
      <w:jc w:val="left"/>
      <w:spacing w:before="100" w:beforeAutospacing="1" w:after="100" w:afterAutospacing="1"/>
      <w:widowControl/>
    </w:pPr>
    <w:rPr>
      <w:rFonts w:ascii="宋体" w:hAnsi="宋体" w:cs="宋体"/>
      <w:sz w:val="24"/>
      <w:szCs w:val="24"/>
    </w:rPr>
  </w:style>
  <w:style w:type="paragraph" w:styleId="960">
    <w:name w:val="索引 2"/>
    <w:basedOn w:val="880"/>
    <w:next w:val="880"/>
    <w:link w:val="880"/>
    <w:pPr>
      <w:ind w:left="420"/>
    </w:pPr>
    <w:rPr>
      <w:rFonts w:eastAsia="楷体_GB2312"/>
      <w:sz w:val="26"/>
    </w:rPr>
  </w:style>
  <w:style w:type="paragraph" w:styleId="961">
    <w:name w:val="标题"/>
    <w:basedOn w:val="880"/>
    <w:next w:val="961"/>
    <w:link w:val="962"/>
    <w:qFormat/>
    <w:pPr>
      <w:jc w:val="center"/>
      <w:spacing w:before="240" w:after="60"/>
      <w:outlineLvl w:val="0"/>
    </w:pPr>
    <w:rPr>
      <w:rFonts w:ascii="Arial" w:hAnsi="Arial"/>
      <w:b/>
      <w:sz w:val="32"/>
    </w:rPr>
  </w:style>
  <w:style w:type="character" w:styleId="962">
    <w:name w:val="标题 字符"/>
    <w:next w:val="962"/>
    <w:link w:val="961"/>
    <w:rPr>
      <w:rFonts w:ascii="Arial" w:hAnsi="Arial" w:eastAsia="宋体"/>
      <w:b/>
      <w:sz w:val="32"/>
      <w:lang w:val="en-US" w:eastAsia="zh-CN" w:bidi="ar-SA"/>
    </w:rPr>
  </w:style>
  <w:style w:type="paragraph" w:styleId="963">
    <w:name w:val="批注主题"/>
    <w:basedOn w:val="910"/>
    <w:next w:val="910"/>
    <w:link w:val="964"/>
    <w:rPr>
      <w:b/>
      <w:lang w:eastAsia="en-US"/>
    </w:rPr>
  </w:style>
  <w:style w:type="character" w:styleId="964">
    <w:name w:val="批注主题 字符"/>
    <w:next w:val="964"/>
    <w:link w:val="963"/>
    <w:rPr>
      <w:b/>
      <w:sz w:val="21"/>
      <w:lang w:eastAsia="en-US" w:bidi="ar-SA"/>
    </w:rPr>
  </w:style>
  <w:style w:type="table" w:styleId="965">
    <w:name w:val="网格型"/>
    <w:basedOn w:val="891"/>
    <w:next w:val="965"/>
    <w:link w:val="880"/>
    <w:uiPriority w:val="59"/>
    <w:rPr>
      <w:rFonts w:ascii="Calibri" w:hAnsi="Calibri" w:eastAsia="宋体" w:cs="Times New Roman"/>
      <w:sz w:val="21"/>
      <w:szCs w:val="22"/>
    </w:rPr>
    <w:tblPr/>
  </w:style>
  <w:style w:type="character" w:styleId="966">
    <w:name w:val="要点"/>
    <w:next w:val="966"/>
    <w:link w:val="880"/>
    <w:qFormat/>
    <w:rPr>
      <w:b/>
    </w:rPr>
  </w:style>
  <w:style w:type="character" w:styleId="967">
    <w:name w:val="页码"/>
    <w:next w:val="967"/>
    <w:link w:val="880"/>
  </w:style>
  <w:style w:type="character" w:styleId="968">
    <w:name w:val="访问过的超链接"/>
    <w:next w:val="968"/>
    <w:link w:val="880"/>
    <w:rPr>
      <w:color w:val="800080"/>
      <w:u w:val="single"/>
    </w:rPr>
  </w:style>
  <w:style w:type="character" w:styleId="969">
    <w:name w:val="超链接"/>
    <w:next w:val="969"/>
    <w:link w:val="880"/>
    <w:uiPriority w:val="99"/>
    <w:rPr>
      <w:color w:val="0000ff"/>
      <w:u w:val="single"/>
    </w:rPr>
  </w:style>
  <w:style w:type="character" w:styleId="970">
    <w:name w:val="批注引用"/>
    <w:next w:val="970"/>
    <w:link w:val="880"/>
    <w:rPr>
      <w:sz w:val="21"/>
      <w:szCs w:val="21"/>
    </w:rPr>
  </w:style>
  <w:style w:type="character" w:styleId="971">
    <w:name w:val="脚注引用"/>
    <w:next w:val="971"/>
    <w:link w:val="880"/>
    <w:rPr>
      <w:vertAlign w:val="superscript"/>
    </w:rPr>
  </w:style>
  <w:style w:type="paragraph" w:styleId="972">
    <w:name w:val="一级条标题"/>
    <w:basedOn w:val="973"/>
    <w:next w:val="974"/>
    <w:link w:val="880"/>
    <w:qFormat/>
    <w:pPr>
      <w:numPr>
        <w:ilvl w:val="4"/>
        <w:numId w:val="1"/>
      </w:numPr>
      <w:spacing w:before="0" w:after="0"/>
      <w:outlineLvl w:val="2"/>
    </w:pPr>
  </w:style>
  <w:style w:type="paragraph" w:styleId="973">
    <w:name w:val="章标题"/>
    <w:next w:val="880"/>
    <w:link w:val="880"/>
    <w:qFormat/>
    <w:pPr>
      <w:numPr>
        <w:ilvl w:val="3"/>
        <w:numId w:val="1"/>
      </w:numPr>
      <w:ind w:left="360"/>
      <w:spacing w:before="50" w:after="50"/>
      <w:outlineLvl w:val="1"/>
    </w:pPr>
    <w:rPr>
      <w:rFonts w:ascii="黑体" w:eastAsia="黑体"/>
      <w:sz w:val="24"/>
      <w:lang w:val="en-US" w:eastAsia="zh-CN" w:bidi="ar-SA"/>
    </w:rPr>
  </w:style>
  <w:style w:type="paragraph" w:styleId="974">
    <w:name w:val="段"/>
    <w:next w:val="880"/>
    <w:link w:val="880"/>
    <w:qFormat/>
    <w:pPr>
      <w:ind w:firstLine="200"/>
      <w:jc w:val="both"/>
    </w:pPr>
    <w:rPr>
      <w:rFonts w:ascii="宋体"/>
      <w:lang w:val="en-US" w:eastAsia="zh-CN" w:bidi="ar-SA"/>
    </w:rPr>
  </w:style>
  <w:style w:type="character" w:styleId="975">
    <w:name w:val="ca-221"/>
    <w:next w:val="975"/>
    <w:link w:val="880"/>
    <w:rPr>
      <w:rFonts w:hint="eastAsia" w:ascii="宋体" w:hAnsi="宋体" w:eastAsia="宋体"/>
      <w:color w:val="ff0000"/>
      <w:sz w:val="24"/>
      <w:szCs w:val="24"/>
    </w:rPr>
  </w:style>
  <w:style w:type="character" w:styleId="976">
    <w:name w:val="Figure Description Char Char"/>
    <w:next w:val="976"/>
    <w:link w:val="977"/>
    <w:rPr>
      <w:rFonts w:ascii="Arial" w:hAnsi="Arial" w:eastAsia="黑体"/>
      <w:sz w:val="18"/>
      <w:lang w:val="en-US" w:eastAsia="zh-CN" w:bidi="ar-SA"/>
    </w:rPr>
  </w:style>
  <w:style w:type="paragraph" w:styleId="977">
    <w:name w:val="Figure Description"/>
    <w:next w:val="880"/>
    <w:link w:val="976"/>
    <w:pPr>
      <w:ind w:left="1701"/>
      <w:jc w:val="center"/>
      <w:spacing w:before="80" w:after="320"/>
    </w:pPr>
    <w:rPr>
      <w:rFonts w:ascii="Arial" w:hAnsi="Arial" w:eastAsia="黑体"/>
      <w:sz w:val="18"/>
      <w:lang w:val="en-US" w:eastAsia="zh-CN" w:bidi="ar-SA"/>
    </w:rPr>
  </w:style>
  <w:style w:type="character" w:styleId="978">
    <w:name w:val="正文格式 Char Char"/>
    <w:next w:val="978"/>
    <w:link w:val="979"/>
    <w:rPr>
      <w:sz w:val="24"/>
      <w:lang w:bidi="ar-SA"/>
    </w:rPr>
  </w:style>
  <w:style w:type="paragraph" w:styleId="979">
    <w:name w:val="正文格式"/>
    <w:basedOn w:val="880"/>
    <w:next w:val="979"/>
    <w:link w:val="978"/>
    <w:pPr>
      <w:ind w:firstLine="482"/>
      <w:spacing w:line="440" w:lineRule="exact"/>
      <w:widowControl/>
    </w:pPr>
    <w:rPr>
      <w:sz w:val="24"/>
    </w:rPr>
  </w:style>
  <w:style w:type="character" w:styleId="980">
    <w:name w:val="样式 标题 1tzy1h1Heading 0H1Heading 01H11(A-1)(Alt+1)(Alt+1... Char Char"/>
    <w:next w:val="980"/>
    <w:link w:val="981"/>
    <w:rPr>
      <w:rFonts w:ascii="宋体" w:hAnsi="宋体" w:eastAsia="宋体"/>
      <w:b/>
      <w:sz w:val="32"/>
      <w:lang w:val="en-US" w:eastAsia="zh-CN" w:bidi="ar-SA"/>
    </w:rPr>
  </w:style>
  <w:style w:type="paragraph" w:styleId="981">
    <w:name w:val="样式 标题 1tzy1h1Heading 0H1Heading 01H11(A-1)(Alt+1)(Alt+1..."/>
    <w:basedOn w:val="881"/>
    <w:next w:val="981"/>
    <w:link w:val="980"/>
    <w:pPr>
      <w:ind w:left="852" w:hanging="567"/>
      <w:spacing w:line="360" w:lineRule="auto"/>
      <w:tabs>
        <w:tab w:val="left" w:pos="512" w:leader="none"/>
      </w:tabs>
    </w:pPr>
    <w:rPr>
      <w:sz w:val="32"/>
    </w:rPr>
  </w:style>
  <w:style w:type="character" w:styleId="982">
    <w:name w:val="样式 正文缩进 + 首行缩进:  2 字符 Char Char"/>
    <w:next w:val="982"/>
    <w:link w:val="983"/>
    <w:rPr>
      <w:sz w:val="24"/>
      <w:lang w:bidi="ar-SA"/>
    </w:rPr>
  </w:style>
  <w:style w:type="paragraph" w:styleId="983">
    <w:name w:val="样式 正文缩进 + 首行缩进:  2 字符"/>
    <w:basedOn w:val="907"/>
    <w:next w:val="983"/>
    <w:link w:val="982"/>
    <w:pPr>
      <w:ind w:firstLine="200"/>
      <w:jc w:val="left"/>
      <w:spacing w:line="360" w:lineRule="auto"/>
    </w:pPr>
    <w:rPr>
      <w:sz w:val="24"/>
    </w:rPr>
  </w:style>
  <w:style w:type="character" w:styleId="984">
    <w:name w:val="Table Description Char Char Char"/>
    <w:next w:val="984"/>
    <w:link w:val="985"/>
    <w:rPr>
      <w:rFonts w:ascii="Arial" w:hAnsi="Arial" w:eastAsia="黑体"/>
      <w:sz w:val="18"/>
      <w:lang w:val="en-US" w:eastAsia="zh-CN" w:bidi="ar-SA"/>
    </w:rPr>
  </w:style>
  <w:style w:type="paragraph" w:styleId="985">
    <w:name w:val="Table Description Char"/>
    <w:next w:val="880"/>
    <w:link w:val="984"/>
    <w:pPr>
      <w:ind w:left="1701"/>
      <w:jc w:val="center"/>
      <w:keepNext/>
      <w:spacing w:before="160" w:after="80"/>
    </w:pPr>
    <w:rPr>
      <w:rFonts w:ascii="Arial" w:hAnsi="Arial" w:eastAsia="黑体"/>
      <w:sz w:val="18"/>
      <w:lang w:val="en-US" w:eastAsia="zh-CN" w:bidi="ar-SA"/>
    </w:rPr>
  </w:style>
  <w:style w:type="character" w:styleId="986">
    <w:name w:val="小表格内容 Char Char"/>
    <w:next w:val="986"/>
    <w:link w:val="987"/>
    <w:rPr>
      <w:rFonts w:ascii="Arial" w:hAnsi="Arial" w:eastAsia="仿宋_GB2312"/>
      <w:sz w:val="21"/>
      <w:lang w:val="en-US" w:eastAsia="zh-CN" w:bidi="ar-SA"/>
    </w:rPr>
  </w:style>
  <w:style w:type="paragraph" w:styleId="987">
    <w:name w:val="小表格内容"/>
    <w:next w:val="987"/>
    <w:link w:val="986"/>
    <w:pPr>
      <w:spacing w:line="0" w:lineRule="atLeast"/>
    </w:pPr>
    <w:rPr>
      <w:rFonts w:ascii="Arial" w:hAnsi="Arial" w:eastAsia="仿宋_GB2312"/>
      <w:sz w:val="21"/>
      <w:lang w:val="en-US" w:eastAsia="zh-CN" w:bidi="ar-SA"/>
    </w:rPr>
  </w:style>
  <w:style w:type="character" w:styleId="988">
    <w:name w:val=" Char Char"/>
    <w:next w:val="988"/>
    <w:link w:val="989"/>
    <w:rPr>
      <w:rFonts w:ascii="Verdana" w:hAnsi="Verdana" w:eastAsia="仿宋_GB2312"/>
      <w:sz w:val="24"/>
      <w:lang w:eastAsia="en-US"/>
    </w:rPr>
  </w:style>
  <w:style w:type="paragraph" w:styleId="989">
    <w:name w:val=" Char"/>
    <w:basedOn w:val="880"/>
    <w:next w:val="989"/>
    <w:link w:val="988"/>
    <w:pPr>
      <w:jc w:val="left"/>
      <w:spacing w:after="160" w:line="240" w:lineRule="exact"/>
      <w:widowControl/>
    </w:pPr>
    <w:rPr>
      <w:rFonts w:ascii="Verdana" w:hAnsi="Verdana" w:eastAsia="仿宋_GB2312"/>
      <w:sz w:val="24"/>
      <w:lang w:eastAsia="en-US"/>
    </w:rPr>
  </w:style>
  <w:style w:type="character" w:styleId="990">
    <w:name w:val="No Spacing Char Char"/>
    <w:next w:val="990"/>
    <w:link w:val="991"/>
    <w:rPr>
      <w:rFonts w:ascii="Calibri" w:hAnsi="Calibri" w:eastAsia="Times New Roman"/>
      <w:sz w:val="22"/>
      <w:lang w:val="en-US" w:eastAsia="en-US" w:bidi="ar-SA"/>
    </w:rPr>
  </w:style>
  <w:style w:type="paragraph" w:styleId="991">
    <w:name w:val="No Spacing"/>
    <w:next w:val="991"/>
    <w:link w:val="990"/>
    <w:rPr>
      <w:rFonts w:ascii="Calibri" w:hAnsi="Calibri" w:eastAsia="Times New Roman"/>
      <w:sz w:val="22"/>
      <w:lang w:val="en-US" w:eastAsia="en-US" w:bidi="ar-SA"/>
    </w:rPr>
  </w:style>
  <w:style w:type="character" w:styleId="992">
    <w:name w:val="正文文本 Char,NICMAN Body Text Char,Body Text(ch) Char"/>
    <w:next w:val="992"/>
    <w:link w:val="880"/>
    <w:rPr>
      <w:rFonts w:hint="eastAsia" w:ascii="楷体_GB2312" w:eastAsia="楷体_GB2312"/>
      <w:sz w:val="28"/>
      <w:lang w:val="en-US" w:eastAsia="zh-CN"/>
    </w:rPr>
  </w:style>
  <w:style w:type="paragraph" w:styleId="993">
    <w:name w:val="xl61"/>
    <w:basedOn w:val="880"/>
    <w:next w:val="993"/>
    <w:link w:val="8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994">
    <w:name w:val="xl53"/>
    <w:basedOn w:val="880"/>
    <w:next w:val="994"/>
    <w:link w:val="8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95">
    <w:name w:val="xl58"/>
    <w:basedOn w:val="880"/>
    <w:next w:val="995"/>
    <w:link w:val="8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96">
    <w:name w:val="xl50"/>
    <w:basedOn w:val="880"/>
    <w:next w:val="996"/>
    <w:link w:val="8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997">
    <w:name w:val="xl52"/>
    <w:basedOn w:val="880"/>
    <w:next w:val="997"/>
    <w:link w:val="8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98">
    <w:name w:val="小四 段落 宋体 Char Char Char Char Char Char Char"/>
    <w:basedOn w:val="906"/>
    <w:next w:val="998"/>
    <w:link w:val="880"/>
    <w:semiHidden/>
    <w:pPr>
      <w:ind w:left="0" w:right="-33" w:firstLine="545"/>
      <w:jc w:val="left"/>
      <w:spacing w:line="360" w:lineRule="auto"/>
      <w:tabs>
        <w:tab w:val="clear" w:pos="1125" w:leader="none"/>
      </w:tabs>
    </w:pPr>
    <w:rPr>
      <w:sz w:val="24"/>
    </w:rPr>
  </w:style>
  <w:style w:type="paragraph" w:styleId="999">
    <w:name w:val=" Char Char Char"/>
    <w:basedOn w:val="880"/>
    <w:next w:val="999"/>
    <w:link w:val="880"/>
    <w:rPr>
      <w:rFonts w:ascii="Tahoma" w:hAnsi="Tahoma"/>
      <w:sz w:val="24"/>
    </w:rPr>
  </w:style>
  <w:style w:type="paragraph" w:styleId="1000">
    <w:name w:val="xl47"/>
    <w:basedOn w:val="880"/>
    <w:next w:val="1000"/>
    <w:link w:val="8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01">
    <w:name w:val="小四 段落 宋体 Char Char Char Char Char Char"/>
    <w:basedOn w:val="998"/>
    <w:next w:val="1001"/>
    <w:link w:val="880"/>
    <w:pPr>
      <w:ind w:firstLine="480"/>
    </w:pPr>
    <w:rPr>
      <w:rFonts w:ascii="宋体" w:hAnsi="宋体"/>
    </w:rPr>
  </w:style>
  <w:style w:type="paragraph" w:styleId="1002">
    <w:name w:val="font6"/>
    <w:basedOn w:val="880"/>
    <w:next w:val="1002"/>
    <w:link w:val="880"/>
    <w:pPr>
      <w:jc w:val="left"/>
      <w:spacing w:before="100" w:beforeAutospacing="1" w:after="100" w:afterAutospacing="1"/>
      <w:widowControl/>
    </w:pPr>
    <w:rPr>
      <w:rFonts w:hint="eastAsia" w:ascii="宋体" w:hAnsi="宋体" w:cs="Arial Unicode MS"/>
      <w:b/>
      <w:bCs/>
      <w:sz w:val="18"/>
      <w:szCs w:val="18"/>
    </w:rPr>
  </w:style>
  <w:style w:type="paragraph" w:styleId="1003">
    <w:name w:val="xl57"/>
    <w:basedOn w:val="880"/>
    <w:next w:val="1003"/>
    <w:link w:val="88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04">
    <w:name w:val="xl45"/>
    <w:basedOn w:val="880"/>
    <w:next w:val="1004"/>
    <w:link w:val="8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05">
    <w:name w:val="xl64"/>
    <w:basedOn w:val="880"/>
    <w:next w:val="1005"/>
    <w:link w:val="8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06">
    <w:name w:val="xl54"/>
    <w:basedOn w:val="880"/>
    <w:next w:val="1006"/>
    <w:link w:val="8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07">
    <w:name w:val="小四 段落 宋体 Char"/>
    <w:basedOn w:val="906"/>
    <w:next w:val="1007"/>
    <w:link w:val="880"/>
    <w:pPr>
      <w:ind w:left="0" w:right="-33" w:firstLine="480"/>
      <w:jc w:val="left"/>
      <w:spacing w:line="360" w:lineRule="auto"/>
      <w:tabs>
        <w:tab w:val="clear" w:pos="1125" w:leader="none"/>
      </w:tabs>
    </w:pPr>
    <w:rPr>
      <w:sz w:val="24"/>
    </w:rPr>
  </w:style>
  <w:style w:type="paragraph" w:styleId="1008">
    <w:name w:val="xl51"/>
    <w:basedOn w:val="880"/>
    <w:next w:val="1008"/>
    <w:link w:val="8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09">
    <w:name w:val="p0"/>
    <w:basedOn w:val="880"/>
    <w:next w:val="1009"/>
    <w:link w:val="880"/>
    <w:pPr>
      <w:widowControl/>
    </w:pPr>
    <w:rPr>
      <w:rFonts w:ascii="Calibri" w:hAnsi="Calibri" w:cs="宋体"/>
      <w:szCs w:val="21"/>
    </w:rPr>
  </w:style>
  <w:style w:type="paragraph" w:styleId="1010">
    <w:name w:val="xl24"/>
    <w:basedOn w:val="880"/>
    <w:next w:val="1010"/>
    <w:link w:val="880"/>
    <w:pPr>
      <w:jc w:val="center"/>
      <w:spacing w:before="100" w:beforeAutospacing="1" w:after="100" w:afterAutospacing="1"/>
      <w:widowControl/>
    </w:pPr>
    <w:rPr>
      <w:rFonts w:hint="eastAsia" w:ascii="宋体" w:hAnsi="宋体"/>
      <w:sz w:val="24"/>
      <w:szCs w:val="24"/>
    </w:rPr>
  </w:style>
  <w:style w:type="paragraph" w:styleId="1011">
    <w:name w:val="正文缩进 Char Char"/>
    <w:basedOn w:val="880"/>
    <w:next w:val="1011"/>
    <w:link w:val="880"/>
    <w:pPr>
      <w:ind w:firstLine="420"/>
    </w:pPr>
  </w:style>
  <w:style w:type="paragraph" w:styleId="1012">
    <w:name w:val="Plain Text"/>
    <w:basedOn w:val="880"/>
    <w:next w:val="1012"/>
    <w:link w:val="1013"/>
    <w:qFormat/>
    <w:rPr>
      <w:rFonts w:ascii="宋体" w:hAnsi="Courier New" w:eastAsia="楷体_GB2312"/>
      <w:sz w:val="26"/>
    </w:rPr>
  </w:style>
  <w:style w:type="character" w:styleId="1013">
    <w:name w:val="Plain Text Char"/>
    <w:next w:val="1013"/>
    <w:link w:val="1012"/>
    <w:qFormat/>
    <w:rPr>
      <w:rFonts w:ascii="宋体" w:hAnsi="Courier New" w:eastAsia="楷体_GB2312"/>
      <w:sz w:val="26"/>
    </w:rPr>
  </w:style>
  <w:style w:type="paragraph" w:styleId="1014">
    <w:name w:val="xl46"/>
    <w:basedOn w:val="880"/>
    <w:next w:val="1014"/>
    <w:link w:val="8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15">
    <w:name w:val="font5"/>
    <w:basedOn w:val="880"/>
    <w:next w:val="1015"/>
    <w:link w:val="880"/>
    <w:pPr>
      <w:jc w:val="left"/>
      <w:spacing w:before="100" w:beforeAutospacing="1" w:after="100" w:afterAutospacing="1"/>
      <w:widowControl/>
    </w:pPr>
    <w:rPr>
      <w:rFonts w:hint="eastAsia" w:ascii="宋体" w:hAnsi="宋体"/>
      <w:sz w:val="18"/>
      <w:szCs w:val="18"/>
    </w:rPr>
  </w:style>
  <w:style w:type="paragraph" w:styleId="1016">
    <w:name w:val="xl48"/>
    <w:basedOn w:val="880"/>
    <w:next w:val="1016"/>
    <w:link w:val="8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17">
    <w:name w:val="xl49"/>
    <w:basedOn w:val="880"/>
    <w:next w:val="1017"/>
    <w:link w:val="880"/>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18">
    <w:name w:val="xl55"/>
    <w:basedOn w:val="880"/>
    <w:next w:val="1018"/>
    <w:link w:val="8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19">
    <w:name w:val="xl56"/>
    <w:basedOn w:val="880"/>
    <w:next w:val="1019"/>
    <w:link w:val="8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20">
    <w:name w:val="xl59"/>
    <w:basedOn w:val="880"/>
    <w:next w:val="1020"/>
    <w:link w:val="8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21">
    <w:name w:val="font7"/>
    <w:basedOn w:val="880"/>
    <w:next w:val="1021"/>
    <w:link w:val="880"/>
    <w:qFormat/>
    <w:pPr>
      <w:jc w:val="left"/>
      <w:spacing w:before="100" w:beforeAutospacing="1" w:after="100" w:afterAutospacing="1"/>
      <w:widowControl/>
    </w:pPr>
    <w:rPr>
      <w:sz w:val="20"/>
    </w:rPr>
  </w:style>
  <w:style w:type="paragraph" w:styleId="1022">
    <w:name w:val="xl60"/>
    <w:basedOn w:val="880"/>
    <w:next w:val="1022"/>
    <w:link w:val="8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23">
    <w:name w:val="xl62"/>
    <w:basedOn w:val="880"/>
    <w:next w:val="1023"/>
    <w:link w:val="8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24">
    <w:name w:val="中等深浅网格 1 - 强调文字颜色 21"/>
    <w:basedOn w:val="880"/>
    <w:next w:val="1024"/>
    <w:link w:val="880"/>
    <w:uiPriority w:val="34"/>
    <w:qFormat/>
    <w:pPr>
      <w:ind w:firstLine="420"/>
    </w:pPr>
    <w:rPr>
      <w:rFonts w:ascii="Calibri" w:hAnsi="Calibri"/>
      <w:szCs w:val="22"/>
    </w:rPr>
  </w:style>
  <w:style w:type="paragraph" w:styleId="1025">
    <w:name w:val="xl63"/>
    <w:basedOn w:val="880"/>
    <w:next w:val="1025"/>
    <w:link w:val="8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26">
    <w:name w:val="xl65"/>
    <w:basedOn w:val="880"/>
    <w:next w:val="1026"/>
    <w:link w:val="8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27">
    <w:name w:val="xl66"/>
    <w:basedOn w:val="880"/>
    <w:next w:val="1027"/>
    <w:link w:val="8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28">
    <w:name w:val="Char"/>
    <w:basedOn w:val="880"/>
    <w:next w:val="1028"/>
    <w:link w:val="880"/>
    <w:rPr>
      <w:rFonts w:ascii="Tahoma" w:hAnsi="Tahoma"/>
      <w:sz w:val="24"/>
    </w:rPr>
  </w:style>
  <w:style w:type="paragraph" w:styleId="1029">
    <w:name w:val="List Paragraph"/>
    <w:basedOn w:val="880"/>
    <w:next w:val="1029"/>
    <w:link w:val="880"/>
    <w:pPr>
      <w:ind w:firstLine="420"/>
    </w:pPr>
    <w:rPr>
      <w:rFonts w:ascii="Calibri" w:hAnsi="Calibri"/>
      <w:szCs w:val="22"/>
    </w:rPr>
  </w:style>
  <w:style w:type="paragraph" w:styleId="1030">
    <w:name w:val="纯文本1"/>
    <w:basedOn w:val="880"/>
    <w:next w:val="1030"/>
    <w:link w:val="880"/>
    <w:qFormat/>
    <w:rPr>
      <w:rFonts w:ascii="宋体" w:hAnsi="Courier New" w:eastAsia="楷体_GB2312"/>
      <w:sz w:val="28"/>
    </w:rPr>
  </w:style>
  <w:style w:type="paragraph" w:styleId="1031">
    <w:name w:val="Default"/>
    <w:next w:val="1031"/>
    <w:link w:val="880"/>
    <w:pPr>
      <w:widowControl w:val="off"/>
    </w:pPr>
    <w:rPr>
      <w:rFonts w:ascii="仿宋" w:eastAsia="仿宋" w:cs="仿宋"/>
      <w:color w:val="000000"/>
      <w:sz w:val="24"/>
      <w:szCs w:val="24"/>
      <w:lang w:val="en-US" w:eastAsia="zh-CN" w:bidi="ar-SA"/>
    </w:rPr>
  </w:style>
  <w:style w:type="paragraph" w:styleId="1032">
    <w:name w:val="一级目录"/>
    <w:next w:val="880"/>
    <w:link w:val="880"/>
    <w:pPr>
      <w:jc w:val="center"/>
      <w:outlineLvl w:val="0"/>
    </w:pPr>
    <w:rPr>
      <w:rFonts w:ascii="黑体" w:eastAsia="黑体"/>
      <w:b/>
      <w:sz w:val="44"/>
      <w:szCs w:val="44"/>
      <w:lang w:val="en-US" w:eastAsia="zh-CN" w:bidi="ar-SA"/>
    </w:rPr>
  </w:style>
  <w:style w:type="character" w:styleId="1033">
    <w:name w:val="纯文本 Char1"/>
    <w:next w:val="1033"/>
    <w:link w:val="880"/>
    <w:rPr>
      <w:rFonts w:ascii="宋体" w:hAnsi="Courier New" w:eastAsia="楷体_GB2312"/>
      <w:sz w:val="26"/>
      <w:lang w:val="en-US" w:eastAsia="zh-CN" w:bidi="ar-SA"/>
    </w:rPr>
  </w:style>
  <w:style w:type="character" w:styleId="1034">
    <w:name w:val="正文缩进 Char1"/>
    <w:next w:val="1034"/>
    <w:link w:val="880"/>
    <w:rPr>
      <w:rFonts w:eastAsia="楷体_GB2312"/>
      <w:sz w:val="24"/>
      <w:lang w:val="en-US" w:eastAsia="zh-CN" w:bidi="ar-SA"/>
    </w:rPr>
  </w:style>
  <w:style w:type="paragraph" w:styleId="1035">
    <w:name w:val="首行缩进"/>
    <w:basedOn w:val="880"/>
    <w:next w:val="1035"/>
    <w:link w:val="880"/>
    <w:qFormat/>
    <w:pPr>
      <w:ind w:firstLine="480"/>
    </w:pPr>
    <w:rPr>
      <w:szCs w:val="20"/>
      <w:lang w:val="zh-CN"/>
    </w:rPr>
  </w:style>
  <w:style w:type="paragraph" w:styleId="1036">
    <w:name w:val="正文空2格  1."/>
    <w:basedOn w:val="880"/>
    <w:next w:val="1036"/>
    <w:link w:val="880"/>
    <w:qFormat/>
    <w:pPr>
      <w:ind w:firstLine="480"/>
      <w:spacing w:line="360" w:lineRule="auto"/>
    </w:pPr>
    <w:rPr>
      <w:rFonts w:ascii="宋体" w:hAnsi="Times New Roman" w:eastAsia="仿宋" w:cs="宋体"/>
      <w:sz w:val="28"/>
      <w:szCs w:val="20"/>
    </w:rPr>
  </w:style>
  <w:style w:type="character" w:styleId="1037" w:default="1">
    <w:name w:val="Default Paragraph Font"/>
    <w:uiPriority w:val="1"/>
    <w:semiHidden/>
    <w:unhideWhenUsed/>
  </w:style>
  <w:style w:type="numbering" w:styleId="1038" w:default="1">
    <w:name w:val="No List"/>
    <w:uiPriority w:val="99"/>
    <w:semiHidden/>
    <w:unhideWhenUsed/>
  </w:style>
  <w:style w:type="table" w:styleId="10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bookmark1"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bookmark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第四章 招标书</dc:title>
  <dc:creator>user</dc:creator>
  <cp:lastModifiedBy>赵斐</cp:lastModifiedBy>
  <cp:revision>6</cp:revision>
  <dcterms:created xsi:type="dcterms:W3CDTF">2026-06-04T07:14:00Z</dcterms:created>
  <dcterms:modified xsi:type="dcterms:W3CDTF">2026-06-15T07:52:52Z</dcterms:modified>
  <cp:version>1048576</cp:version>
</cp:coreProperties>
</file>